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C210DB" w14:textId="2A051AA6" w:rsidR="00971998" w:rsidRDefault="004B634B" w:rsidP="0078606C">
      <w:pPr>
        <w:spacing w:line="276" w:lineRule="auto"/>
      </w:pPr>
      <w:r>
        <w:t>2)</w:t>
      </w:r>
    </w:p>
    <w:p w14:paraId="20DC2926" w14:textId="17897837" w:rsidR="004B634B" w:rsidRDefault="004B634B" w:rsidP="0078606C">
      <w:pPr>
        <w:spacing w:line="276" w:lineRule="auto"/>
      </w:pPr>
      <w:r>
        <w:rPr>
          <w:noProof/>
        </w:rPr>
        <w:drawing>
          <wp:inline distT="0" distB="0" distL="0" distR="0" wp14:anchorId="0FD59526" wp14:editId="631AD7C7">
            <wp:extent cx="5731510" cy="304038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731510" cy="3040380"/>
                    </a:xfrm>
                    <a:prstGeom prst="rect">
                      <a:avLst/>
                    </a:prstGeom>
                  </pic:spPr>
                </pic:pic>
              </a:graphicData>
            </a:graphic>
          </wp:inline>
        </w:drawing>
      </w:r>
    </w:p>
    <w:p w14:paraId="4B5C1B77" w14:textId="27968ACF" w:rsidR="004B634B" w:rsidRDefault="004B634B" w:rsidP="0078606C">
      <w:pPr>
        <w:spacing w:line="276" w:lineRule="auto"/>
      </w:pPr>
    </w:p>
    <w:p w14:paraId="696DF353" w14:textId="63159242" w:rsidR="00971998" w:rsidRPr="00512C9E" w:rsidRDefault="004B634B" w:rsidP="0078606C">
      <w:pPr>
        <w:spacing w:line="276" w:lineRule="auto"/>
        <w:rPr>
          <w:lang w:val="da-DK"/>
        </w:rPr>
      </w:pPr>
      <w:r w:rsidRPr="00512C9E">
        <w:rPr>
          <w:lang w:val="da-DK"/>
        </w:rPr>
        <w:t>3)</w:t>
      </w:r>
    </w:p>
    <w:p w14:paraId="42D4FF63" w14:textId="45C0295C" w:rsidR="00971998" w:rsidRDefault="00971998" w:rsidP="0078606C">
      <w:pPr>
        <w:spacing w:line="276" w:lineRule="auto"/>
        <w:rPr>
          <w:lang w:val="da-DK"/>
        </w:rPr>
      </w:pPr>
      <w:r>
        <w:rPr>
          <w:lang w:val="da-DK"/>
        </w:rPr>
        <w:t xml:space="preserve">Den nominelle udvikling er overvejende stigende gennem hele perioden. En stigning fra 775 millioner kroner til ca. 1100 millioner kroner. Andelen af BNP er stigende fra 2009 til 2014. En stigning på 4,7 pct. point fra 45,1% til 49,8%. Yderligere stigende fra 2018 til 2019. Modsat ses et fald fra 2014 til 2018. Et fald fra 49,8% til 45%. Ekstra opmærksomhed skal tillægges året 2014, da andelen på 49,8% er den højeste i periodens levetid. </w:t>
      </w:r>
    </w:p>
    <w:p w14:paraId="77FF765A" w14:textId="1E6C42EC" w:rsidR="00971998" w:rsidRDefault="00971998" w:rsidP="0078606C">
      <w:pPr>
        <w:spacing w:line="276" w:lineRule="auto"/>
        <w:rPr>
          <w:lang w:val="da-DK"/>
        </w:rPr>
      </w:pPr>
    </w:p>
    <w:p w14:paraId="3A5024B0" w14:textId="07F9F267" w:rsidR="00971998" w:rsidRDefault="005B4F8D" w:rsidP="0078606C">
      <w:pPr>
        <w:spacing w:line="276" w:lineRule="auto"/>
        <w:rPr>
          <w:lang w:val="da-DK"/>
        </w:rPr>
      </w:pPr>
      <w:r>
        <w:rPr>
          <w:lang w:val="da-DK"/>
        </w:rPr>
        <w:t xml:space="preserve">Den nominelle udvikling var som tidligere nævnt stødt stigende, dog har andelene større relative udsving end den nominelle udvikling. Dette kan forklares ved, at Y er vokset mere end den nominelle udvikling. Herved kan andelen både være faldende/stigende. </w:t>
      </w:r>
    </w:p>
    <w:p w14:paraId="1AD4FE83" w14:textId="783497B1" w:rsidR="005B4F8D" w:rsidRDefault="005B4F8D" w:rsidP="0078606C">
      <w:pPr>
        <w:spacing w:line="276" w:lineRule="auto"/>
        <w:rPr>
          <w:lang w:val="da-DK"/>
        </w:rPr>
      </w:pPr>
    </w:p>
    <w:p w14:paraId="4EF551AE" w14:textId="06D64856" w:rsidR="005B4F8D" w:rsidRDefault="00C34A3F" w:rsidP="0078606C">
      <w:pPr>
        <w:spacing w:line="276" w:lineRule="auto"/>
        <w:rPr>
          <w:lang w:val="da-DK"/>
        </w:rPr>
      </w:pPr>
      <w:r>
        <w:rPr>
          <w:lang w:val="da-DK"/>
        </w:rPr>
        <w:t>4)</w:t>
      </w:r>
    </w:p>
    <w:p w14:paraId="65A1B101" w14:textId="573E3079" w:rsidR="00C34A3F" w:rsidRPr="004B634B" w:rsidRDefault="00C34A3F" w:rsidP="0078606C">
      <w:pPr>
        <w:spacing w:line="276" w:lineRule="auto"/>
        <w:rPr>
          <w:lang w:val="da-DK"/>
        </w:rPr>
      </w:pPr>
      <w:r>
        <w:rPr>
          <w:lang w:val="da-DK"/>
        </w:rPr>
        <w:t>Finansloven bliver vedtaget i 2012, hvilket kan være med til at påvirke de offentlige indtægter i positiv vækst, hvilket kan ses i form af den mest markante stigning fra 2012-2014. Finansloven i 2012 sørgede for skatte- og afgiftsstigninger på 5 milliarder kroner pga. afgifter på fedt, sukker cigaretter</w:t>
      </w:r>
      <w:r w:rsidR="004B634B">
        <w:rPr>
          <w:lang w:val="da-DK"/>
        </w:rPr>
        <w:t xml:space="preserve">, </w:t>
      </w:r>
      <w:r w:rsidR="004B634B">
        <w:rPr>
          <w:b/>
          <w:bCs/>
          <w:lang w:val="da-DK"/>
        </w:rPr>
        <w:t>jf. s. 141 i STO, generelle omsætningsafgifter</w:t>
      </w:r>
      <w:r w:rsidR="004B634B">
        <w:rPr>
          <w:lang w:val="da-DK"/>
        </w:rPr>
        <w:t>.</w:t>
      </w:r>
    </w:p>
    <w:p w14:paraId="5DBC439C" w14:textId="77777777" w:rsidR="00F237E9" w:rsidRDefault="00F237E9" w:rsidP="0078606C">
      <w:pPr>
        <w:spacing w:line="276" w:lineRule="auto"/>
        <w:rPr>
          <w:lang w:val="da-DK"/>
        </w:rPr>
      </w:pPr>
    </w:p>
    <w:p w14:paraId="78E6662C" w14:textId="2D7B308E" w:rsidR="00C34A3F" w:rsidRDefault="00F237E9" w:rsidP="0078606C">
      <w:pPr>
        <w:spacing w:line="276" w:lineRule="auto"/>
        <w:rPr>
          <w:lang w:val="da-DK"/>
        </w:rPr>
      </w:pPr>
      <w:r>
        <w:rPr>
          <w:lang w:val="da-DK"/>
        </w:rPr>
        <w:t>Topskattegrænsen bliver forhøjet i 2014, som udsat fra 2011 med genopretningspakken. Dette medvirker til, at der kommer færre indtægter i statskassen, da alt andet lige, færre personer betaler topskat.</w:t>
      </w:r>
    </w:p>
    <w:p w14:paraId="6A028A28" w14:textId="7E7B00D0" w:rsidR="00E01643" w:rsidRDefault="00E01643" w:rsidP="0078606C">
      <w:pPr>
        <w:spacing w:line="276" w:lineRule="auto"/>
        <w:rPr>
          <w:lang w:val="da-DK"/>
        </w:rPr>
      </w:pPr>
    </w:p>
    <w:p w14:paraId="4FDB1510" w14:textId="2D787D25" w:rsidR="00E01643" w:rsidRDefault="00E01643" w:rsidP="0078606C">
      <w:pPr>
        <w:spacing w:line="276" w:lineRule="auto"/>
        <w:rPr>
          <w:lang w:val="da-DK"/>
        </w:rPr>
      </w:pPr>
      <w:r>
        <w:rPr>
          <w:lang w:val="da-DK"/>
        </w:rPr>
        <w:t>BNP er stigende over hele perioden fra 2009-2019. Den nominelle er faldende fra 2014-2015 og omtrent stagnerende mellem 2015-2016. Dette vil resultere i, at de offentlige indtægters andel af BNP vil falde, hvilket der observeres i figur 2.1.</w:t>
      </w:r>
    </w:p>
    <w:p w14:paraId="506C0F7F" w14:textId="2FBF5121" w:rsidR="00E01643" w:rsidRDefault="00E01643" w:rsidP="0078606C">
      <w:pPr>
        <w:spacing w:line="276" w:lineRule="auto"/>
        <w:rPr>
          <w:lang w:val="da-DK"/>
        </w:rPr>
      </w:pPr>
    </w:p>
    <w:p w14:paraId="5998244C" w14:textId="78B745A7" w:rsidR="004B634B" w:rsidRDefault="004B634B" w:rsidP="0078606C">
      <w:pPr>
        <w:spacing w:line="276" w:lineRule="auto"/>
        <w:rPr>
          <w:lang w:val="da-DK"/>
        </w:rPr>
      </w:pPr>
      <w:r>
        <w:rPr>
          <w:lang w:val="da-DK"/>
        </w:rPr>
        <w:lastRenderedPageBreak/>
        <w:t>… Evt. Skriv mere…</w:t>
      </w:r>
    </w:p>
    <w:p w14:paraId="29F8145A" w14:textId="2D317DC3" w:rsidR="004B634B" w:rsidRDefault="004B634B" w:rsidP="0078606C">
      <w:pPr>
        <w:spacing w:line="276" w:lineRule="auto"/>
        <w:rPr>
          <w:lang w:val="da-DK"/>
        </w:rPr>
      </w:pPr>
    </w:p>
    <w:p w14:paraId="5EB27D1A" w14:textId="17D4E7BB" w:rsidR="004B634B" w:rsidRDefault="004B634B" w:rsidP="0078606C">
      <w:pPr>
        <w:spacing w:line="276" w:lineRule="auto"/>
        <w:rPr>
          <w:lang w:val="da-DK"/>
        </w:rPr>
      </w:pPr>
      <w:r>
        <w:rPr>
          <w:lang w:val="da-DK"/>
        </w:rPr>
        <w:t>5)</w:t>
      </w:r>
    </w:p>
    <w:p w14:paraId="5DCA9CC4" w14:textId="02E09491" w:rsidR="004B634B" w:rsidRDefault="00512C9E" w:rsidP="0078606C">
      <w:pPr>
        <w:spacing w:line="276" w:lineRule="auto"/>
        <w:rPr>
          <w:lang w:val="da-DK"/>
        </w:rPr>
      </w:pPr>
      <w:r>
        <w:rPr>
          <w:noProof/>
        </w:rPr>
        <w:drawing>
          <wp:inline distT="0" distB="0" distL="0" distR="0" wp14:anchorId="036B6A50" wp14:editId="1AB9D353">
            <wp:extent cx="5883910" cy="3216910"/>
            <wp:effectExtent l="0" t="0" r="8890" b="8890"/>
            <wp:docPr id="1" name="Chart 1">
              <a:extLst xmlns:a="http://schemas.openxmlformats.org/drawingml/2006/main">
                <a:ext uri="{FF2B5EF4-FFF2-40B4-BE49-F238E27FC236}">
                  <a16:creationId xmlns:a16="http://schemas.microsoft.com/office/drawing/2014/main" id="{54CFA6AD-20FB-A340-B589-5BD8D7394B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CE87714" w14:textId="126ED3C4" w:rsidR="00087AF9" w:rsidRDefault="00087AF9" w:rsidP="0078606C">
      <w:pPr>
        <w:spacing w:line="276" w:lineRule="auto"/>
        <w:rPr>
          <w:lang w:val="da-DK"/>
        </w:rPr>
      </w:pPr>
    </w:p>
    <w:p w14:paraId="05EC0D7F" w14:textId="77777777" w:rsidR="00512C9E" w:rsidRDefault="00512C9E" w:rsidP="0078606C">
      <w:pPr>
        <w:spacing w:line="276" w:lineRule="auto"/>
        <w:rPr>
          <w:lang w:val="da-DK"/>
        </w:rPr>
      </w:pPr>
    </w:p>
    <w:p w14:paraId="34EB6F91" w14:textId="5E3B5C36" w:rsidR="00512C9E" w:rsidRDefault="00512C9E" w:rsidP="0078606C">
      <w:pPr>
        <w:spacing w:line="276" w:lineRule="auto"/>
        <w:rPr>
          <w:lang w:val="da-DK"/>
        </w:rPr>
      </w:pPr>
      <w:r>
        <w:rPr>
          <w:lang w:val="da-DK"/>
        </w:rPr>
        <w:t>Andele</w:t>
      </w:r>
    </w:p>
    <w:p w14:paraId="049E3D18" w14:textId="386DB75A" w:rsidR="00512C9E" w:rsidRDefault="00512C9E" w:rsidP="0078606C">
      <w:pPr>
        <w:spacing w:line="276" w:lineRule="auto"/>
        <w:rPr>
          <w:lang w:val="da-DK"/>
        </w:rPr>
      </w:pPr>
      <w:r>
        <w:rPr>
          <w:noProof/>
          <w:lang w:val="da-DK"/>
        </w:rPr>
        <w:drawing>
          <wp:inline distT="0" distB="0" distL="0" distR="0" wp14:anchorId="641FDB7F" wp14:editId="6ACC629F">
            <wp:extent cx="5731510" cy="1090930"/>
            <wp:effectExtent l="0" t="0" r="0" b="127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090930"/>
                    </a:xfrm>
                    <a:prstGeom prst="rect">
                      <a:avLst/>
                    </a:prstGeom>
                  </pic:spPr>
                </pic:pic>
              </a:graphicData>
            </a:graphic>
          </wp:inline>
        </w:drawing>
      </w:r>
    </w:p>
    <w:p w14:paraId="2F7C532F" w14:textId="4EB0DD79" w:rsidR="00512C9E" w:rsidRDefault="00087AF9" w:rsidP="0078606C">
      <w:pPr>
        <w:spacing w:line="276" w:lineRule="auto"/>
        <w:rPr>
          <w:lang w:val="da-DK"/>
        </w:rPr>
      </w:pPr>
      <w:r>
        <w:rPr>
          <w:lang w:val="da-DK"/>
        </w:rPr>
        <w:t xml:space="preserve">Det kan udledes, at størstedelen af statens indtægter kommer fra indkomstskatter. I perioden er andelen der udgøres af både afgifter og ejendoms/formueskat faldende. Modsat er andelen af indtægterne kommende fra indkomstskatter stigende gennem hele perioden. </w:t>
      </w:r>
    </w:p>
    <w:p w14:paraId="05DFD741" w14:textId="77777777" w:rsidR="00F20DBD" w:rsidRDefault="00F20DBD" w:rsidP="0078606C">
      <w:pPr>
        <w:spacing w:line="276" w:lineRule="auto"/>
        <w:rPr>
          <w:lang w:val="da-DK"/>
        </w:rPr>
      </w:pPr>
    </w:p>
    <w:p w14:paraId="3ABA7DB0" w14:textId="6B66F6C6" w:rsidR="00512C9E" w:rsidRDefault="00512C9E" w:rsidP="0078606C">
      <w:pPr>
        <w:spacing w:line="276" w:lineRule="auto"/>
        <w:rPr>
          <w:lang w:val="da-DK"/>
        </w:rPr>
      </w:pPr>
      <w:r>
        <w:rPr>
          <w:lang w:val="da-DK"/>
        </w:rPr>
        <w:t>Vækstbidrag</w:t>
      </w:r>
      <w:r w:rsidR="00E52FBD">
        <w:rPr>
          <w:noProof/>
          <w:lang w:val="da-DK"/>
        </w:rPr>
        <w:drawing>
          <wp:inline distT="0" distB="0" distL="0" distR="0" wp14:anchorId="68160B67" wp14:editId="6E548FBA">
            <wp:extent cx="5731510" cy="1204595"/>
            <wp:effectExtent l="0" t="0" r="0" b="190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204595"/>
                    </a:xfrm>
                    <a:prstGeom prst="rect">
                      <a:avLst/>
                    </a:prstGeom>
                  </pic:spPr>
                </pic:pic>
              </a:graphicData>
            </a:graphic>
          </wp:inline>
        </w:drawing>
      </w:r>
    </w:p>
    <w:p w14:paraId="46A0CE32" w14:textId="3D1ABFE4" w:rsidR="00512C9E" w:rsidRDefault="00512C9E" w:rsidP="0078606C">
      <w:pPr>
        <w:spacing w:line="276" w:lineRule="auto"/>
        <w:rPr>
          <w:lang w:val="da-DK"/>
        </w:rPr>
      </w:pPr>
    </w:p>
    <w:p w14:paraId="46406844" w14:textId="2FECDBC2" w:rsidR="00E52FBD" w:rsidRDefault="00E52FBD" w:rsidP="0078606C">
      <w:pPr>
        <w:spacing w:line="276" w:lineRule="auto"/>
        <w:rPr>
          <w:lang w:val="da-DK"/>
        </w:rPr>
      </w:pPr>
    </w:p>
    <w:p w14:paraId="2CB78043" w14:textId="77777777" w:rsidR="00E52FBD" w:rsidRDefault="00E52FBD" w:rsidP="0078606C">
      <w:pPr>
        <w:spacing w:line="276" w:lineRule="auto"/>
        <w:rPr>
          <w:lang w:val="da-DK"/>
        </w:rPr>
      </w:pPr>
    </w:p>
    <w:p w14:paraId="0A374158" w14:textId="6E927BA7" w:rsidR="00512C9E" w:rsidRDefault="005D7C54" w:rsidP="0078606C">
      <w:pPr>
        <w:spacing w:line="276" w:lineRule="auto"/>
        <w:rPr>
          <w:lang w:val="da-DK"/>
        </w:rPr>
      </w:pPr>
      <w:r>
        <w:rPr>
          <w:lang w:val="da-DK"/>
        </w:rPr>
        <w:lastRenderedPageBreak/>
        <w:t xml:space="preserve">7) </w:t>
      </w:r>
    </w:p>
    <w:p w14:paraId="049EA2B1" w14:textId="0590CCDF" w:rsidR="005D7C54" w:rsidRDefault="005D7C54" w:rsidP="0078606C">
      <w:pPr>
        <w:spacing w:line="276" w:lineRule="auto"/>
        <w:rPr>
          <w:lang w:val="da-DK"/>
        </w:rPr>
      </w:pPr>
      <w:r>
        <w:rPr>
          <w:lang w:val="da-DK"/>
        </w:rPr>
        <w:t>- Forårspakken sænker skatterne, finansieres af afgiftsstigninger. Usikkerheden giver lavere forbrug, derfor større andel i indkomstskatterne, da dette trækker offentlig indtægt.</w:t>
      </w:r>
    </w:p>
    <w:p w14:paraId="1F1042A8" w14:textId="0E3F4013" w:rsidR="0085406B" w:rsidRDefault="0085406B" w:rsidP="0078606C">
      <w:pPr>
        <w:spacing w:line="276" w:lineRule="auto"/>
        <w:rPr>
          <w:lang w:val="da-DK"/>
        </w:rPr>
      </w:pPr>
      <w:r>
        <w:rPr>
          <w:lang w:val="da-DK"/>
        </w:rPr>
        <w:t xml:space="preserve">- 2010 Dagpengeperioden sænkes fra 4 til 2 år. Dette presser arbejdsløse tilbage hurtigere, derved højere skatteindkomster gennem hele perioden. </w:t>
      </w:r>
    </w:p>
    <w:p w14:paraId="101FEFDC" w14:textId="58796E2F" w:rsidR="0085406B" w:rsidRDefault="005D7C54" w:rsidP="0078606C">
      <w:pPr>
        <w:spacing w:line="276" w:lineRule="auto"/>
        <w:rPr>
          <w:lang w:val="da-DK"/>
        </w:rPr>
      </w:pPr>
      <w:r>
        <w:rPr>
          <w:lang w:val="da-DK"/>
        </w:rPr>
        <w:t xml:space="preserve">- </w:t>
      </w:r>
      <w:r w:rsidR="000C76CB">
        <w:rPr>
          <w:lang w:val="da-DK"/>
        </w:rPr>
        <w:t xml:space="preserve"> Yderligere steg ledigheden, og i og med antallet af ledige stiger, træder de automatiske stabilisatorer i kraft. Overførselsindkomster er stadig skattepligtige, men samtidig bliver det dyrere at forbruge. Derved fald i afgifter og stigning i indkomstskatterne.</w:t>
      </w:r>
    </w:p>
    <w:p w14:paraId="4584F64B" w14:textId="28F2CC35" w:rsidR="0085406B" w:rsidRDefault="0085406B" w:rsidP="0078606C">
      <w:pPr>
        <w:spacing w:line="276" w:lineRule="auto"/>
        <w:rPr>
          <w:lang w:val="da-DK"/>
        </w:rPr>
      </w:pPr>
      <w:r>
        <w:rPr>
          <w:lang w:val="da-DK"/>
        </w:rPr>
        <w:t xml:space="preserve">- 2011 tilbagetrækningsreformen mindsker efterlønsperioden, derved flere erhvervsaktive, der betaler skat. </w:t>
      </w:r>
    </w:p>
    <w:p w14:paraId="01611ED9" w14:textId="05E90BE1" w:rsidR="0085406B" w:rsidRDefault="0085406B" w:rsidP="0078606C">
      <w:pPr>
        <w:spacing w:line="276" w:lineRule="auto"/>
        <w:rPr>
          <w:lang w:val="da-DK"/>
        </w:rPr>
      </w:pPr>
      <w:r>
        <w:rPr>
          <w:lang w:val="da-DK"/>
        </w:rPr>
        <w:t>- Fremrykkelse af offentlige investeringer i 2012, skaber direkte efterspørgsel på arbejdsmarkedet og giver enkelte brancher arbejdspladser. Det er samtidig med afgift stigninger på 5 milliarder kroner. Derfor højere skatteindtægter, samt indtægter fra afgifter.</w:t>
      </w:r>
    </w:p>
    <w:p w14:paraId="4546084D" w14:textId="42B9C41F" w:rsidR="00512C9E" w:rsidRDefault="005D7C54" w:rsidP="0078606C">
      <w:pPr>
        <w:spacing w:line="276" w:lineRule="auto"/>
        <w:rPr>
          <w:lang w:val="da-DK"/>
        </w:rPr>
      </w:pPr>
      <w:r>
        <w:rPr>
          <w:lang w:val="da-DK"/>
        </w:rPr>
        <w:t xml:space="preserve">- </w:t>
      </w:r>
      <w:r w:rsidR="000C76CB">
        <w:rPr>
          <w:lang w:val="da-DK"/>
        </w:rPr>
        <w:t xml:space="preserve">I 2014 er dansk økonomi ved at være gennem WS-krakket. </w:t>
      </w:r>
      <w:r w:rsidR="000C76CB" w:rsidRPr="005D7C54">
        <w:rPr>
          <w:lang w:val="da-DK"/>
        </w:rPr>
        <w:t>Derfor ses en stigning i indkomstskatter, da virksomheder begynder at ansætte, hvilket presser lønningerne</w:t>
      </w:r>
      <w:r>
        <w:rPr>
          <w:lang w:val="da-DK"/>
        </w:rPr>
        <w:t xml:space="preserve"> op</w:t>
      </w:r>
      <w:r w:rsidR="000C76CB" w:rsidRPr="005D7C54">
        <w:rPr>
          <w:lang w:val="da-DK"/>
        </w:rPr>
        <w:t xml:space="preserve">. </w:t>
      </w:r>
    </w:p>
    <w:p w14:paraId="6BA5AA55" w14:textId="2B89C69C" w:rsidR="00EC2A99" w:rsidRDefault="00EC2A99" w:rsidP="0078606C">
      <w:pPr>
        <w:spacing w:line="276" w:lineRule="auto"/>
        <w:rPr>
          <w:lang w:val="da-DK"/>
        </w:rPr>
      </w:pPr>
      <w:r>
        <w:rPr>
          <w:lang w:val="da-DK"/>
        </w:rPr>
        <w:t>- 2013 - man fjerner fedt og sukker afgift, og derfor mindre vækst i afgift</w:t>
      </w:r>
    </w:p>
    <w:p w14:paraId="5F9520DE" w14:textId="771AC873" w:rsidR="0085406B" w:rsidRDefault="0085406B" w:rsidP="0078606C">
      <w:pPr>
        <w:spacing w:line="276" w:lineRule="auto"/>
        <w:rPr>
          <w:lang w:val="da-DK"/>
        </w:rPr>
      </w:pPr>
    </w:p>
    <w:p w14:paraId="5988E1E1" w14:textId="45C46BDE" w:rsidR="0085406B" w:rsidRDefault="0085406B" w:rsidP="0078606C">
      <w:pPr>
        <w:spacing w:line="276" w:lineRule="auto"/>
        <w:rPr>
          <w:lang w:val="da-DK"/>
        </w:rPr>
      </w:pPr>
      <w:r>
        <w:rPr>
          <w:lang w:val="da-DK"/>
        </w:rPr>
        <w:t>8)</w:t>
      </w:r>
    </w:p>
    <w:p w14:paraId="1B6AED3B" w14:textId="1CD854DC" w:rsidR="0085406B" w:rsidRDefault="00CE315A" w:rsidP="0078606C">
      <w:pPr>
        <w:spacing w:line="276" w:lineRule="auto"/>
        <w:rPr>
          <w:lang w:val="da-DK"/>
        </w:rPr>
      </w:pPr>
      <w:r>
        <w:rPr>
          <w:lang w:val="da-DK"/>
        </w:rPr>
        <w:t xml:space="preserve">En indtægt, der er meget konjunkturfølsom er indkomstskatterne. Alt efter konjunkturerne vokser eller falder basen. </w:t>
      </w:r>
      <w:r w:rsidR="008854D4">
        <w:rPr>
          <w:lang w:val="da-DK"/>
        </w:rPr>
        <w:t>Dette ses blandt andet i stigende skatteindtægter gennem hele perioden jf. figur 2.1</w:t>
      </w:r>
    </w:p>
    <w:p w14:paraId="772966D6" w14:textId="0A5B2A23" w:rsidR="005D7C54" w:rsidRDefault="005D7C54" w:rsidP="0078606C">
      <w:pPr>
        <w:spacing w:line="276" w:lineRule="auto"/>
        <w:rPr>
          <w:lang w:val="da-DK"/>
        </w:rPr>
      </w:pPr>
    </w:p>
    <w:p w14:paraId="2F7BBF07" w14:textId="1630F0CC" w:rsidR="001D4E2D" w:rsidRDefault="005D7C54" w:rsidP="0078606C">
      <w:pPr>
        <w:spacing w:line="276" w:lineRule="auto"/>
        <w:rPr>
          <w:lang w:val="da-DK"/>
        </w:rPr>
      </w:pPr>
      <w:r>
        <w:rPr>
          <w:lang w:val="da-DK"/>
        </w:rPr>
        <w:t>9)</w:t>
      </w:r>
    </w:p>
    <w:p w14:paraId="7F7DF017" w14:textId="60E668E6" w:rsidR="001D4E2D" w:rsidRDefault="001D4E2D" w:rsidP="0078606C">
      <w:pPr>
        <w:spacing w:line="276" w:lineRule="auto"/>
        <w:rPr>
          <w:lang w:val="da-DK"/>
        </w:rPr>
      </w:pPr>
      <w:r>
        <w:rPr>
          <w:lang w:val="da-DK"/>
        </w:rPr>
        <w:t xml:space="preserve">Afgifter på varer og tjenester har de sidste mange år været berørt af politiske incitamenter. </w:t>
      </w:r>
    </w:p>
    <w:p w14:paraId="02532503" w14:textId="286A1169" w:rsidR="001D4E2D" w:rsidRPr="00971998" w:rsidRDefault="001D4E2D" w:rsidP="0078606C">
      <w:pPr>
        <w:spacing w:line="276" w:lineRule="auto"/>
        <w:rPr>
          <w:lang w:val="da-DK"/>
        </w:rPr>
      </w:pPr>
      <w:r>
        <w:rPr>
          <w:lang w:val="da-DK"/>
        </w:rPr>
        <w:t>Tidligere udledtes det, at den var faldende gennem hele perioden. I samme periode er registreringsafgiften og energiafgifter lempet 2 gange. Yderligere er også en bilafgift sænket. Alt andet lige giver det billigere varer, men samtidig falder denne del af indtægterne for staten.</w:t>
      </w:r>
    </w:p>
    <w:sectPr w:rsidR="001D4E2D" w:rsidRPr="009719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998"/>
    <w:rsid w:val="00087AF9"/>
    <w:rsid w:val="000C76CB"/>
    <w:rsid w:val="001D4E2D"/>
    <w:rsid w:val="004B634B"/>
    <w:rsid w:val="00512C9E"/>
    <w:rsid w:val="005849D5"/>
    <w:rsid w:val="005B4F8D"/>
    <w:rsid w:val="005D7C54"/>
    <w:rsid w:val="00684EBD"/>
    <w:rsid w:val="0078606C"/>
    <w:rsid w:val="0085406B"/>
    <w:rsid w:val="008854D4"/>
    <w:rsid w:val="00971998"/>
    <w:rsid w:val="00C34A3F"/>
    <w:rsid w:val="00CE315A"/>
    <w:rsid w:val="00E01643"/>
    <w:rsid w:val="00E52FBD"/>
    <w:rsid w:val="00EC2A99"/>
    <w:rsid w:val="00F20DBD"/>
    <w:rsid w:val="00F237E9"/>
    <w:rsid w:val="00F437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5BFE6B2"/>
  <w15:chartTrackingRefBased/>
  <w15:docId w15:val="{962A1543-A580-444F-A011-C9F6F11FC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36149">
      <w:bodyDiv w:val="1"/>
      <w:marLeft w:val="0"/>
      <w:marRight w:val="0"/>
      <w:marTop w:val="0"/>
      <w:marBottom w:val="0"/>
      <w:divBdr>
        <w:top w:val="none" w:sz="0" w:space="0" w:color="auto"/>
        <w:left w:val="none" w:sz="0" w:space="0" w:color="auto"/>
        <w:bottom w:val="none" w:sz="0" w:space="0" w:color="auto"/>
        <w:right w:val="none" w:sz="0" w:space="0" w:color="auto"/>
      </w:divBdr>
    </w:div>
    <w:div w:id="1421608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chart" Target="charts/chart1.xml"/><Relationship Id="rId4" Type="http://schemas.openxmlformats.org/officeDocument/2006/relationships/image" Target="media/image1.png"/><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Japee/Documents/University/2.%20Sem%20/Samf%20B/Metode%20opgaver%20/M4.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Figur 6.1. Andelen</a:t>
            </a:r>
            <a:r>
              <a:rPr lang="en-GB" baseline="0"/>
              <a:t> af offentlige indtægter</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7379025971652998E-2"/>
          <c:y val="0.11717232028460897"/>
          <c:w val="0.90425701964456739"/>
          <c:h val="0.5607819304860876"/>
        </c:manualLayout>
      </c:layout>
      <c:barChart>
        <c:barDir val="col"/>
        <c:grouping val="stacked"/>
        <c:varyColors val="0"/>
        <c:ser>
          <c:idx val="0"/>
          <c:order val="0"/>
          <c:tx>
            <c:strRef>
              <c:f>Sheet1!$A$46</c:f>
              <c:strCache>
                <c:ptCount val="1"/>
                <c:pt idx="0">
                  <c:v>Indkomstskatter  </c:v>
                </c:pt>
              </c:strCache>
            </c:strRef>
          </c:tx>
          <c:spPr>
            <a:solidFill>
              <a:schemeClr val="accent1"/>
            </a:solidFill>
            <a:ln>
              <a:noFill/>
            </a:ln>
            <a:effectLst/>
          </c:spPr>
          <c:invertIfNegative val="0"/>
          <c:cat>
            <c:strRef>
              <c:f>Sheet1!$B$1:$L$1</c:f>
              <c:strCache>
                <c:ptCount val="11"/>
                <c:pt idx="0">
                  <c:v>2009</c:v>
                </c:pt>
                <c:pt idx="1">
                  <c:v>2010</c:v>
                </c:pt>
                <c:pt idx="2">
                  <c:v>2011</c:v>
                </c:pt>
                <c:pt idx="3">
                  <c:v>2012</c:v>
                </c:pt>
                <c:pt idx="4">
                  <c:v>2013</c:v>
                </c:pt>
                <c:pt idx="5">
                  <c:v>2014</c:v>
                </c:pt>
                <c:pt idx="6">
                  <c:v>2015</c:v>
                </c:pt>
                <c:pt idx="7">
                  <c:v>2016</c:v>
                </c:pt>
                <c:pt idx="8">
                  <c:v>2017*</c:v>
                </c:pt>
                <c:pt idx="9">
                  <c:v>2018*</c:v>
                </c:pt>
                <c:pt idx="10">
                  <c:v>2019*</c:v>
                </c:pt>
              </c:strCache>
            </c:strRef>
          </c:cat>
          <c:val>
            <c:numRef>
              <c:f>Sheet1!$B$46:$L$46</c:f>
              <c:numCache>
                <c:formatCode>0.00%</c:formatCode>
                <c:ptCount val="11"/>
                <c:pt idx="0">
                  <c:v>0.61344782119311791</c:v>
                </c:pt>
                <c:pt idx="1">
                  <c:v>0.6168301811199437</c:v>
                </c:pt>
                <c:pt idx="2">
                  <c:v>0.61389821423871249</c:v>
                </c:pt>
                <c:pt idx="3">
                  <c:v>0.62087388450780556</c:v>
                </c:pt>
                <c:pt idx="4">
                  <c:v>0.62774664479406361</c:v>
                </c:pt>
                <c:pt idx="5">
                  <c:v>0.65302714664375405</c:v>
                </c:pt>
                <c:pt idx="6">
                  <c:v>0.63264325691719292</c:v>
                </c:pt>
                <c:pt idx="7">
                  <c:v>0.62892401441865675</c:v>
                </c:pt>
                <c:pt idx="8">
                  <c:v>0.63434519333518025</c:v>
                </c:pt>
                <c:pt idx="9">
                  <c:v>0.62189086740406418</c:v>
                </c:pt>
                <c:pt idx="10">
                  <c:v>0.64706600322665309</c:v>
                </c:pt>
              </c:numCache>
            </c:numRef>
          </c:val>
          <c:extLst>
            <c:ext xmlns:c16="http://schemas.microsoft.com/office/drawing/2014/chart" uri="{C3380CC4-5D6E-409C-BE32-E72D297353CC}">
              <c16:uniqueId val="{00000000-0687-364B-84AA-24B032B41D79}"/>
            </c:ext>
          </c:extLst>
        </c:ser>
        <c:ser>
          <c:idx val="1"/>
          <c:order val="1"/>
          <c:tx>
            <c:strRef>
              <c:f>Sheet1!$A$47</c:f>
              <c:strCache>
                <c:ptCount val="1"/>
                <c:pt idx="0">
                  <c:v>Arbejdsmarkedsbidrag og kontingenter  </c:v>
                </c:pt>
              </c:strCache>
            </c:strRef>
          </c:tx>
          <c:spPr>
            <a:solidFill>
              <a:schemeClr val="accent2"/>
            </a:solidFill>
            <a:ln>
              <a:noFill/>
            </a:ln>
            <a:effectLst/>
          </c:spPr>
          <c:invertIfNegative val="0"/>
          <c:cat>
            <c:strRef>
              <c:f>Sheet1!$B$1:$L$1</c:f>
              <c:strCache>
                <c:ptCount val="11"/>
                <c:pt idx="0">
                  <c:v>2009</c:v>
                </c:pt>
                <c:pt idx="1">
                  <c:v>2010</c:v>
                </c:pt>
                <c:pt idx="2">
                  <c:v>2011</c:v>
                </c:pt>
                <c:pt idx="3">
                  <c:v>2012</c:v>
                </c:pt>
                <c:pt idx="4">
                  <c:v>2013</c:v>
                </c:pt>
                <c:pt idx="5">
                  <c:v>2014</c:v>
                </c:pt>
                <c:pt idx="6">
                  <c:v>2015</c:v>
                </c:pt>
                <c:pt idx="7">
                  <c:v>2016</c:v>
                </c:pt>
                <c:pt idx="8">
                  <c:v>2017*</c:v>
                </c:pt>
                <c:pt idx="9">
                  <c:v>2018*</c:v>
                </c:pt>
                <c:pt idx="10">
                  <c:v>2019*</c:v>
                </c:pt>
              </c:strCache>
            </c:strRef>
          </c:cat>
          <c:val>
            <c:numRef>
              <c:f>Sheet1!$B$47:$L$47</c:f>
              <c:numCache>
                <c:formatCode>0.00%</c:formatCode>
                <c:ptCount val="11"/>
                <c:pt idx="0">
                  <c:v>6.6518732915259692E-3</c:v>
                </c:pt>
                <c:pt idx="1">
                  <c:v>7.2982982444997095E-3</c:v>
                </c:pt>
                <c:pt idx="2">
                  <c:v>7.9860355046576237E-3</c:v>
                </c:pt>
                <c:pt idx="3">
                  <c:v>8.4635027947586212E-3</c:v>
                </c:pt>
                <c:pt idx="4">
                  <c:v>8.5303152076979822E-3</c:v>
                </c:pt>
                <c:pt idx="5">
                  <c:v>7.8961553738033669E-3</c:v>
                </c:pt>
                <c:pt idx="6">
                  <c:v>7.5454626576381204E-3</c:v>
                </c:pt>
                <c:pt idx="7">
                  <c:v>7.2925366296133073E-3</c:v>
                </c:pt>
                <c:pt idx="8">
                  <c:v>6.4847429453437286E-3</c:v>
                </c:pt>
                <c:pt idx="9">
                  <c:v>7.3010476879685664E-3</c:v>
                </c:pt>
                <c:pt idx="10">
                  <c:v>6.8754508229066673E-3</c:v>
                </c:pt>
              </c:numCache>
            </c:numRef>
          </c:val>
          <c:extLst>
            <c:ext xmlns:c16="http://schemas.microsoft.com/office/drawing/2014/chart" uri="{C3380CC4-5D6E-409C-BE32-E72D297353CC}">
              <c16:uniqueId val="{00000001-0687-364B-84AA-24B032B41D79}"/>
            </c:ext>
          </c:extLst>
        </c:ser>
        <c:ser>
          <c:idx val="2"/>
          <c:order val="2"/>
          <c:tx>
            <c:strRef>
              <c:f>Sheet1!$A$48</c:f>
              <c:strCache>
                <c:ptCount val="1"/>
                <c:pt idx="0">
                  <c:v>Skat af formue, ejendom og besiddelse  </c:v>
                </c:pt>
              </c:strCache>
            </c:strRef>
          </c:tx>
          <c:spPr>
            <a:solidFill>
              <a:schemeClr val="accent3"/>
            </a:solidFill>
            <a:ln>
              <a:noFill/>
            </a:ln>
            <a:effectLst/>
          </c:spPr>
          <c:invertIfNegative val="0"/>
          <c:cat>
            <c:strRef>
              <c:f>Sheet1!$B$1:$L$1</c:f>
              <c:strCache>
                <c:ptCount val="11"/>
                <c:pt idx="0">
                  <c:v>2009</c:v>
                </c:pt>
                <c:pt idx="1">
                  <c:v>2010</c:v>
                </c:pt>
                <c:pt idx="2">
                  <c:v>2011</c:v>
                </c:pt>
                <c:pt idx="3">
                  <c:v>2012</c:v>
                </c:pt>
                <c:pt idx="4">
                  <c:v>2013</c:v>
                </c:pt>
                <c:pt idx="5">
                  <c:v>2014</c:v>
                </c:pt>
                <c:pt idx="6">
                  <c:v>2015</c:v>
                </c:pt>
                <c:pt idx="7">
                  <c:v>2016</c:v>
                </c:pt>
                <c:pt idx="8">
                  <c:v>2017*</c:v>
                </c:pt>
                <c:pt idx="9">
                  <c:v>2018*</c:v>
                </c:pt>
                <c:pt idx="10">
                  <c:v>2019*</c:v>
                </c:pt>
              </c:strCache>
            </c:strRef>
          </c:cat>
          <c:val>
            <c:numRef>
              <c:f>Sheet1!$B$48:$L$48</c:f>
              <c:numCache>
                <c:formatCode>0.00%</c:formatCode>
                <c:ptCount val="11"/>
                <c:pt idx="0">
                  <c:v>5.2296510693037465E-2</c:v>
                </c:pt>
                <c:pt idx="1">
                  <c:v>5.1853950974979357E-2</c:v>
                </c:pt>
                <c:pt idx="2">
                  <c:v>5.3161273650030989E-2</c:v>
                </c:pt>
                <c:pt idx="3">
                  <c:v>5.0253985458988008E-2</c:v>
                </c:pt>
                <c:pt idx="4">
                  <c:v>5.0847196380010791E-2</c:v>
                </c:pt>
                <c:pt idx="5">
                  <c:v>4.7323230685677696E-2</c:v>
                </c:pt>
                <c:pt idx="6">
                  <c:v>5.1214101465305605E-2</c:v>
                </c:pt>
                <c:pt idx="7">
                  <c:v>4.9826341270990823E-2</c:v>
                </c:pt>
                <c:pt idx="8">
                  <c:v>4.7969683777258874E-2</c:v>
                </c:pt>
                <c:pt idx="9">
                  <c:v>4.9764931013761608E-2</c:v>
                </c:pt>
                <c:pt idx="10">
                  <c:v>4.7096654595778185E-2</c:v>
                </c:pt>
              </c:numCache>
            </c:numRef>
          </c:val>
          <c:extLst>
            <c:ext xmlns:c16="http://schemas.microsoft.com/office/drawing/2014/chart" uri="{C3380CC4-5D6E-409C-BE32-E72D297353CC}">
              <c16:uniqueId val="{00000002-0687-364B-84AA-24B032B41D79}"/>
            </c:ext>
          </c:extLst>
        </c:ser>
        <c:ser>
          <c:idx val="3"/>
          <c:order val="3"/>
          <c:tx>
            <c:strRef>
              <c:f>Sheet1!$A$49</c:f>
              <c:strCache>
                <c:ptCount val="1"/>
                <c:pt idx="0">
                  <c:v>Afgifter af varer og tjenester  </c:v>
                </c:pt>
              </c:strCache>
            </c:strRef>
          </c:tx>
          <c:spPr>
            <a:solidFill>
              <a:schemeClr val="accent4"/>
            </a:solidFill>
            <a:ln>
              <a:noFill/>
            </a:ln>
            <a:effectLst/>
          </c:spPr>
          <c:invertIfNegative val="0"/>
          <c:cat>
            <c:strRef>
              <c:f>Sheet1!$B$1:$L$1</c:f>
              <c:strCache>
                <c:ptCount val="11"/>
                <c:pt idx="0">
                  <c:v>2009</c:v>
                </c:pt>
                <c:pt idx="1">
                  <c:v>2010</c:v>
                </c:pt>
                <c:pt idx="2">
                  <c:v>2011</c:v>
                </c:pt>
                <c:pt idx="3">
                  <c:v>2012</c:v>
                </c:pt>
                <c:pt idx="4">
                  <c:v>2013</c:v>
                </c:pt>
                <c:pt idx="5">
                  <c:v>2014</c:v>
                </c:pt>
                <c:pt idx="6">
                  <c:v>2015</c:v>
                </c:pt>
                <c:pt idx="7">
                  <c:v>2016</c:v>
                </c:pt>
                <c:pt idx="8">
                  <c:v>2017*</c:v>
                </c:pt>
                <c:pt idx="9">
                  <c:v>2018*</c:v>
                </c:pt>
                <c:pt idx="10">
                  <c:v>2019*</c:v>
                </c:pt>
              </c:strCache>
            </c:strRef>
          </c:cat>
          <c:val>
            <c:numRef>
              <c:f>Sheet1!$B$49:$L$49</c:f>
              <c:numCache>
                <c:formatCode>0.00%</c:formatCode>
                <c:ptCount val="11"/>
                <c:pt idx="0">
                  <c:v>0.32723974915581283</c:v>
                </c:pt>
                <c:pt idx="1">
                  <c:v>0.3236608996877916</c:v>
                </c:pt>
                <c:pt idx="2">
                  <c:v>0.3246314459569723</c:v>
                </c:pt>
                <c:pt idx="3">
                  <c:v>0.32006531054659693</c:v>
                </c:pt>
                <c:pt idx="4">
                  <c:v>0.3101157119422211</c:v>
                </c:pt>
                <c:pt idx="5">
                  <c:v>0.2890886541781838</c:v>
                </c:pt>
                <c:pt idx="6">
                  <c:v>0.30525609125942404</c:v>
                </c:pt>
                <c:pt idx="7">
                  <c:v>0.31244086820119144</c:v>
                </c:pt>
                <c:pt idx="8">
                  <c:v>0.30957968892230975</c:v>
                </c:pt>
                <c:pt idx="9">
                  <c:v>0.31867711945701982</c:v>
                </c:pt>
                <c:pt idx="10">
                  <c:v>0.2968162955159066</c:v>
                </c:pt>
              </c:numCache>
            </c:numRef>
          </c:val>
          <c:extLst>
            <c:ext xmlns:c16="http://schemas.microsoft.com/office/drawing/2014/chart" uri="{C3380CC4-5D6E-409C-BE32-E72D297353CC}">
              <c16:uniqueId val="{00000003-0687-364B-84AA-24B032B41D79}"/>
            </c:ext>
          </c:extLst>
        </c:ser>
        <c:ser>
          <c:idx val="4"/>
          <c:order val="4"/>
          <c:tx>
            <c:strRef>
              <c:f>Sheet1!$A$50</c:f>
              <c:strCache>
                <c:ptCount val="1"/>
                <c:pt idx="0">
                  <c:v>Andre produktionsskatter  </c:v>
                </c:pt>
              </c:strCache>
            </c:strRef>
          </c:tx>
          <c:spPr>
            <a:solidFill>
              <a:schemeClr val="accent5"/>
            </a:solidFill>
            <a:ln>
              <a:noFill/>
            </a:ln>
            <a:effectLst/>
          </c:spPr>
          <c:invertIfNegative val="0"/>
          <c:cat>
            <c:strRef>
              <c:f>Sheet1!$B$1:$L$1</c:f>
              <c:strCache>
                <c:ptCount val="11"/>
                <c:pt idx="0">
                  <c:v>2009</c:v>
                </c:pt>
                <c:pt idx="1">
                  <c:v>2010</c:v>
                </c:pt>
                <c:pt idx="2">
                  <c:v>2011</c:v>
                </c:pt>
                <c:pt idx="3">
                  <c:v>2012</c:v>
                </c:pt>
                <c:pt idx="4">
                  <c:v>2013</c:v>
                </c:pt>
                <c:pt idx="5">
                  <c:v>2014</c:v>
                </c:pt>
                <c:pt idx="6">
                  <c:v>2015</c:v>
                </c:pt>
                <c:pt idx="7">
                  <c:v>2016</c:v>
                </c:pt>
                <c:pt idx="8">
                  <c:v>2017*</c:v>
                </c:pt>
                <c:pt idx="9">
                  <c:v>2018*</c:v>
                </c:pt>
                <c:pt idx="10">
                  <c:v>2019*</c:v>
                </c:pt>
              </c:strCache>
            </c:strRef>
          </c:cat>
          <c:val>
            <c:numRef>
              <c:f>Sheet1!$B$50:$L$50</c:f>
              <c:numCache>
                <c:formatCode>0.00%</c:formatCode>
                <c:ptCount val="11"/>
                <c:pt idx="0">
                  <c:v>3.653320469528863E-4</c:v>
                </c:pt>
                <c:pt idx="1">
                  <c:v>3.5666997278559247E-4</c:v>
                </c:pt>
                <c:pt idx="2">
                  <c:v>3.2303064962660048E-4</c:v>
                </c:pt>
                <c:pt idx="3">
                  <c:v>3.4331669185087886E-4</c:v>
                </c:pt>
                <c:pt idx="4">
                  <c:v>2.7590307060520319E-3</c:v>
                </c:pt>
                <c:pt idx="5">
                  <c:v>2.6637998816539271E-3</c:v>
                </c:pt>
                <c:pt idx="6">
                  <c:v>3.3431629101911475E-3</c:v>
                </c:pt>
                <c:pt idx="7">
                  <c:v>1.5152122170276981E-3</c:v>
                </c:pt>
                <c:pt idx="8">
                  <c:v>1.6206910199073892E-3</c:v>
                </c:pt>
                <c:pt idx="9">
                  <c:v>2.3650444646178856E-3</c:v>
                </c:pt>
                <c:pt idx="10">
                  <c:v>2.1455958387554441E-3</c:v>
                </c:pt>
              </c:numCache>
            </c:numRef>
          </c:val>
          <c:extLst>
            <c:ext xmlns:c16="http://schemas.microsoft.com/office/drawing/2014/chart" uri="{C3380CC4-5D6E-409C-BE32-E72D297353CC}">
              <c16:uniqueId val="{00000004-0687-364B-84AA-24B032B41D79}"/>
            </c:ext>
          </c:extLst>
        </c:ser>
        <c:dLbls>
          <c:showLegendKey val="0"/>
          <c:showVal val="0"/>
          <c:showCatName val="0"/>
          <c:showSerName val="0"/>
          <c:showPercent val="0"/>
          <c:showBubbleSize val="0"/>
        </c:dLbls>
        <c:gapWidth val="150"/>
        <c:overlap val="100"/>
        <c:axId val="2138511904"/>
        <c:axId val="2138371776"/>
      </c:barChart>
      <c:catAx>
        <c:axId val="21385119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8371776"/>
        <c:crosses val="autoZero"/>
        <c:auto val="1"/>
        <c:lblAlgn val="ctr"/>
        <c:lblOffset val="100"/>
        <c:noMultiLvlLbl val="0"/>
      </c:catAx>
      <c:valAx>
        <c:axId val="2138371776"/>
        <c:scaling>
          <c:orientation val="minMax"/>
          <c:max val="1"/>
          <c:min val="0.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Pct.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8511904"/>
        <c:crosses val="autoZero"/>
        <c:crossBetween val="between"/>
      </c:valAx>
      <c:spPr>
        <a:noFill/>
        <a:ln>
          <a:noFill/>
        </a:ln>
        <a:effectLst/>
      </c:spPr>
    </c:plotArea>
    <c:legend>
      <c:legendPos val="b"/>
      <c:layout>
        <c:manualLayout>
          <c:xMode val="edge"/>
          <c:yMode val="edge"/>
          <c:x val="0.10828193617388786"/>
          <c:y val="0.74569975535529431"/>
          <c:w val="0.78677490313901366"/>
          <c:h val="0.1413446443947763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0.02433</cdr:x>
      <cdr:y>0.88908</cdr:y>
    </cdr:from>
    <cdr:to>
      <cdr:x>0.47123</cdr:x>
      <cdr:y>1</cdr:y>
    </cdr:to>
    <cdr:sp macro="" textlink="">
      <cdr:nvSpPr>
        <cdr:cNvPr id="2" name="TextBox 1">
          <a:extLst xmlns:a="http://schemas.openxmlformats.org/drawingml/2006/main">
            <a:ext uri="{FF2B5EF4-FFF2-40B4-BE49-F238E27FC236}">
              <a16:creationId xmlns:a16="http://schemas.microsoft.com/office/drawing/2014/main" id="{EFCC77AB-162E-E941-9690-1B37A818228F}"/>
            </a:ext>
          </a:extLst>
        </cdr:cNvPr>
        <cdr:cNvSpPr txBox="1"/>
      </cdr:nvSpPr>
      <cdr:spPr>
        <a:xfrm xmlns:a="http://schemas.openxmlformats.org/drawingml/2006/main">
          <a:off x="139448" y="2860089"/>
          <a:ext cx="2561419" cy="356821"/>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GB" sz="800" i="1"/>
            <a:t>Anm:</a:t>
          </a:r>
          <a:r>
            <a:rPr lang="en-GB" sz="800" i="1" baseline="0"/>
            <a:t> De sidste tre år(2017-2019) er stadig under revision </a:t>
          </a:r>
          <a:endParaRPr lang="en-GB" sz="800" i="1"/>
        </a:p>
        <a:p xmlns:a="http://schemas.openxmlformats.org/drawingml/2006/main">
          <a:r>
            <a:rPr lang="en-GB" sz="800" i="1"/>
            <a:t>Kilde</a:t>
          </a:r>
          <a:r>
            <a:rPr lang="en-GB" sz="800" i="1" baseline="0"/>
            <a:t>: STO s. 141 samt egne beregninger </a:t>
          </a:r>
          <a:endParaRPr lang="en-GB" sz="800" i="1"/>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3</Pages>
  <Words>540</Words>
  <Characters>3080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Jeppe Vanderhaegen</dc:creator>
  <cp:keywords/>
  <dc:description/>
  <cp:lastModifiedBy>Jeppe Vanderhaegen</cp:lastModifiedBy>
  <cp:revision>6</cp:revision>
  <dcterms:created xsi:type="dcterms:W3CDTF">2021-03-11T08:18:00Z</dcterms:created>
  <dcterms:modified xsi:type="dcterms:W3CDTF">2021-03-18T08:15:00Z</dcterms:modified>
</cp:coreProperties>
</file>