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07F14" w14:textId="77777777" w:rsidR="009A59E0" w:rsidRDefault="009A59E0" w:rsidP="00D3203C">
      <w:pPr>
        <w:spacing w:line="360" w:lineRule="auto"/>
        <w:rPr>
          <w:lang w:val="da-DK"/>
        </w:rPr>
      </w:pPr>
    </w:p>
    <w:p w14:paraId="10476133" w14:textId="328275D4" w:rsidR="009A59E0" w:rsidRPr="009A59E0" w:rsidRDefault="009A59E0" w:rsidP="00D3203C">
      <w:pPr>
        <w:spacing w:line="360" w:lineRule="auto"/>
        <w:rPr>
          <w:i/>
          <w:iCs/>
          <w:lang w:val="da-DK"/>
        </w:rPr>
      </w:pPr>
      <w:r w:rsidRPr="009A59E0">
        <w:rPr>
          <w:i/>
          <w:iCs/>
          <w:lang w:val="da-DK"/>
        </w:rPr>
        <w:t xml:space="preserve">Før jeg starter, vil jeg påpege, at jeg bruger en forældet version af Befolkning og Samfund(BOS). Min version er fra 2016. Af denne grund kan sidetal være anderledes. </w:t>
      </w:r>
    </w:p>
    <w:p w14:paraId="51EF20E7" w14:textId="77777777" w:rsidR="009A59E0" w:rsidRDefault="009A59E0" w:rsidP="00D3203C">
      <w:pPr>
        <w:spacing w:line="360" w:lineRule="auto"/>
        <w:rPr>
          <w:lang w:val="da-DK"/>
        </w:rPr>
      </w:pPr>
    </w:p>
    <w:p w14:paraId="1C871774" w14:textId="2884F8BE" w:rsidR="001E6A77" w:rsidRDefault="001E6A77" w:rsidP="00D3203C">
      <w:pPr>
        <w:spacing w:line="360" w:lineRule="auto"/>
        <w:rPr>
          <w:lang w:val="da-DK"/>
        </w:rPr>
      </w:pPr>
      <w:r w:rsidRPr="001E6A77">
        <w:rPr>
          <w:lang w:val="da-DK"/>
        </w:rPr>
        <w:t xml:space="preserve">I perioden 1975 frem til I dag er data fundet. </w:t>
      </w:r>
      <w:r>
        <w:rPr>
          <w:lang w:val="da-DK"/>
        </w:rPr>
        <w:t xml:space="preserve">Ved at definere de erhvervsaktive, som man traditionelt ville, (15-64 årig), findes forholdet mellem de unge samt 65+ i forhold til de erhvervsaktive. Ved denne beregning skal der tages nogle forbehold. For det første, er det de færreste mennesker i dag, der begynder at arbejde fast fra 15 års alderen. For det andet er der færre mennesker i dag, der går på pension i en alder af 65. </w:t>
      </w:r>
      <w:r w:rsidR="00D3203C">
        <w:rPr>
          <w:lang w:val="da-DK"/>
        </w:rPr>
        <w:t xml:space="preserve">Hævede man begyndelsesalderen samt alderen for pension, ville brøkdelen blive større. Jeg har holder mig dog til den traditionelle definition af erhvervsaktive. </w:t>
      </w:r>
    </w:p>
    <w:p w14:paraId="76EB5D99" w14:textId="7BD849E7" w:rsidR="001E6A77" w:rsidRDefault="001E6A77" w:rsidP="00D3203C">
      <w:pPr>
        <w:spacing w:line="360" w:lineRule="auto"/>
        <w:rPr>
          <w:lang w:val="da-DK"/>
        </w:rPr>
      </w:pPr>
    </w:p>
    <w:p w14:paraId="20A380B4" w14:textId="4548DC58" w:rsidR="001E6A77" w:rsidRDefault="00D3203C" w:rsidP="00D3203C">
      <w:pPr>
        <w:spacing w:line="360" w:lineRule="auto"/>
        <w:rPr>
          <w:lang w:val="da-DK"/>
        </w:rPr>
      </w:pPr>
      <w:r>
        <w:rPr>
          <w:noProof/>
        </w:rPr>
        <w:drawing>
          <wp:inline distT="0" distB="0" distL="0" distR="0" wp14:anchorId="563E5498" wp14:editId="414863C1">
            <wp:extent cx="4940300" cy="2743200"/>
            <wp:effectExtent l="0" t="0" r="12700" b="12700"/>
            <wp:docPr id="1" name="Chart 1">
              <a:extLst xmlns:a="http://schemas.openxmlformats.org/drawingml/2006/main">
                <a:ext uri="{FF2B5EF4-FFF2-40B4-BE49-F238E27FC236}">
                  <a16:creationId xmlns:a16="http://schemas.microsoft.com/office/drawing/2014/main" id="{A38627AA-5D49-414D-8747-452513F87C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4ED5091" w14:textId="7A44FB42" w:rsidR="001E6A77" w:rsidRDefault="001E6A77" w:rsidP="00D3203C">
      <w:pPr>
        <w:spacing w:line="360" w:lineRule="auto"/>
        <w:rPr>
          <w:lang w:val="da-DK"/>
        </w:rPr>
      </w:pPr>
      <w:r>
        <w:rPr>
          <w:lang w:val="da-DK"/>
        </w:rPr>
        <w:t>I hele perioden er tendensen</w:t>
      </w:r>
      <w:r w:rsidR="00D3203C">
        <w:rPr>
          <w:lang w:val="da-DK"/>
        </w:rPr>
        <w:t xml:space="preserve"> for ældrebyrden og forsørgerbyrden</w:t>
      </w:r>
      <w:r>
        <w:rPr>
          <w:lang w:val="da-DK"/>
        </w:rPr>
        <w:t xml:space="preserve"> stigende</w:t>
      </w:r>
      <w:r w:rsidR="00D3203C">
        <w:rPr>
          <w:lang w:val="da-DK"/>
        </w:rPr>
        <w:t xml:space="preserve">. Samtidig er </w:t>
      </w:r>
      <w:r w:rsidR="007D0CAC">
        <w:rPr>
          <w:lang w:val="da-DK"/>
        </w:rPr>
        <w:t xml:space="preserve">andelen af unge mennesker blevet mindre. Andelen af unge mennesker er faldende fra 1975 til 1990, hvorefter en stigning fra 25% i 1990 til 28% i 2005. Efterfølgende falder andelen til 25%. </w:t>
      </w:r>
      <w:r>
        <w:rPr>
          <w:lang w:val="da-DK"/>
        </w:rPr>
        <w:t xml:space="preserve"> </w:t>
      </w:r>
      <w:r w:rsidR="007D0CAC">
        <w:rPr>
          <w:lang w:val="da-DK"/>
        </w:rPr>
        <w:t>Modsat de unge mennesker er andelen af de ældre stigende hele perioden. Fra 2005 til 2015 sker der specielt et ryk. Fra 22% i 2005 til 29% i 2015.</w:t>
      </w:r>
      <w:r w:rsidR="00D3203C">
        <w:rPr>
          <w:lang w:val="da-DK"/>
        </w:rPr>
        <w:t xml:space="preserve"> </w:t>
      </w:r>
      <w:r w:rsidR="007D0CAC">
        <w:rPr>
          <w:lang w:val="da-DK"/>
        </w:rPr>
        <w:t>Herefter ligger andelen på et stabilt leje omkring 30%. Først i perioden falder den samlede forsørgerbyrde, men efter 1990 er den stødt stigende, og andelen i periodens slutning er 57%.</w:t>
      </w:r>
    </w:p>
    <w:p w14:paraId="2F3588BF" w14:textId="0F7F7DA0" w:rsidR="00D3203C" w:rsidRDefault="00D3203C" w:rsidP="00D3203C">
      <w:pPr>
        <w:spacing w:line="360" w:lineRule="auto"/>
        <w:rPr>
          <w:lang w:val="da-DK"/>
        </w:rPr>
      </w:pPr>
    </w:p>
    <w:p w14:paraId="48252DEF" w14:textId="77777777" w:rsidR="00517479" w:rsidRDefault="00D3203C" w:rsidP="00D3203C">
      <w:pPr>
        <w:spacing w:line="360" w:lineRule="auto"/>
        <w:rPr>
          <w:b/>
          <w:bCs/>
          <w:lang w:val="da-DK"/>
        </w:rPr>
      </w:pPr>
      <w:r>
        <w:rPr>
          <w:lang w:val="da-DK"/>
        </w:rPr>
        <w:lastRenderedPageBreak/>
        <w:t>Som tidligere udledt, er der i de senere år kommet</w:t>
      </w:r>
      <w:r w:rsidR="007D0CAC">
        <w:rPr>
          <w:lang w:val="da-DK"/>
        </w:rPr>
        <w:t xml:space="preserve"> en større andel 65+. Dette kan blandt andet tilskrives den teknologiske udvikling(</w:t>
      </w:r>
      <w:r w:rsidR="007D0CAC">
        <w:rPr>
          <w:b/>
          <w:bCs/>
          <w:lang w:val="da-DK"/>
        </w:rPr>
        <w:t xml:space="preserve">BOS s 16). </w:t>
      </w:r>
      <w:r w:rsidR="007D0CAC">
        <w:rPr>
          <w:lang w:val="da-DK"/>
        </w:rPr>
        <w:t xml:space="preserve">Vi har fået bedre boligforhold, bedre behandling osv. Dette giver os en fordel, og </w:t>
      </w:r>
      <w:r w:rsidR="00517479">
        <w:rPr>
          <w:lang w:val="da-DK"/>
        </w:rPr>
        <w:t xml:space="preserve">er med til at flere mennesker lever længere. Dette kan blandt andet ses i tabellen øverst i </w:t>
      </w:r>
      <w:r w:rsidR="00517479">
        <w:rPr>
          <w:b/>
          <w:bCs/>
          <w:lang w:val="da-DK"/>
        </w:rPr>
        <w:t xml:space="preserve">STO . 23. </w:t>
      </w:r>
      <w:r w:rsidR="00517479">
        <w:rPr>
          <w:lang w:val="da-DK"/>
        </w:rPr>
        <w:t>Ifølge den bliver kvinder 0,48 år ældre end tidligere. Samtidigt skal arbejder størstedelen af danskerne i den tertiære sektor, hvilket minimere slid på vores krop, hvilket også forlænger vores restlevetid.(</w:t>
      </w:r>
      <w:r w:rsidR="00517479">
        <w:rPr>
          <w:b/>
          <w:bCs/>
          <w:lang w:val="da-DK"/>
        </w:rPr>
        <w:t>BOS s 24)</w:t>
      </w:r>
    </w:p>
    <w:p w14:paraId="60C9295B" w14:textId="77777777" w:rsidR="00517479" w:rsidRDefault="00517479" w:rsidP="00D3203C">
      <w:pPr>
        <w:spacing w:line="360" w:lineRule="auto"/>
        <w:rPr>
          <w:b/>
          <w:bCs/>
          <w:lang w:val="da-DK"/>
        </w:rPr>
      </w:pPr>
    </w:p>
    <w:p w14:paraId="65ECE883" w14:textId="77777777" w:rsidR="00517479" w:rsidRDefault="00517479" w:rsidP="00D3203C">
      <w:pPr>
        <w:spacing w:line="360" w:lineRule="auto"/>
        <w:rPr>
          <w:lang w:val="da-DK"/>
        </w:rPr>
      </w:pPr>
      <w:r>
        <w:rPr>
          <w:lang w:val="da-DK"/>
        </w:rPr>
        <w:t xml:space="preserve">Tilknytningen til arbejdsmarkedet kan også være en forklaringsfaktor ift. Andelen af børn. Ved at tage længere uddannelser og udskyde børnene får danskerne børn senere, men også færre end tidligere. Den lavere fertilitet kan blandt andet ses ud fra tabellen øverst på </w:t>
      </w:r>
      <w:r>
        <w:rPr>
          <w:b/>
          <w:bCs/>
          <w:lang w:val="da-DK"/>
        </w:rPr>
        <w:t xml:space="preserve">s. 21 STO. </w:t>
      </w:r>
      <w:r>
        <w:rPr>
          <w:lang w:val="da-DK"/>
        </w:rPr>
        <w:t xml:space="preserve">Her ses det at over en tiårig periode er den samlede fertilitet faldet fra 1840 i 2009 til 1699 i 2019. </w:t>
      </w:r>
    </w:p>
    <w:p w14:paraId="50A3CB8B" w14:textId="7BCD9377" w:rsidR="00517479" w:rsidRDefault="00517479" w:rsidP="00D3203C">
      <w:pPr>
        <w:spacing w:line="360" w:lineRule="auto"/>
        <w:rPr>
          <w:lang w:val="da-DK"/>
        </w:rPr>
      </w:pPr>
    </w:p>
    <w:p w14:paraId="189F274E" w14:textId="3132F6A4" w:rsidR="00D40EDA" w:rsidRDefault="00D40EDA" w:rsidP="00D3203C">
      <w:pPr>
        <w:spacing w:line="360" w:lineRule="auto"/>
        <w:rPr>
          <w:lang w:val="da-DK"/>
        </w:rPr>
      </w:pPr>
      <w:r>
        <w:rPr>
          <w:lang w:val="da-DK"/>
        </w:rPr>
        <w:t xml:space="preserve">Opgave 3 </w:t>
      </w:r>
    </w:p>
    <w:p w14:paraId="5CF48D92" w14:textId="1C10909D" w:rsidR="00517479" w:rsidRDefault="007746EA" w:rsidP="00D3203C">
      <w:pPr>
        <w:spacing w:line="360" w:lineRule="auto"/>
        <w:rPr>
          <w:lang w:val="da-DK"/>
        </w:rPr>
      </w:pPr>
      <w:r>
        <w:rPr>
          <w:lang w:val="da-DK"/>
        </w:rPr>
        <w:t xml:space="preserve">Først skal det nævnes at befolkningsfremskrivninger skal se med kritiske briller, og fremskrivningerne skal ikke ses som facit. Derudover har jeg valgt at medtage 5 års intervaller efter 2025, da usikkerheden kun bliver større, des længere ud i fremtiden der fremskrives. </w:t>
      </w:r>
    </w:p>
    <w:p w14:paraId="7DF85DB0" w14:textId="4ECB863C" w:rsidR="00517479" w:rsidRDefault="00517479" w:rsidP="00D3203C">
      <w:pPr>
        <w:spacing w:line="360" w:lineRule="auto"/>
        <w:rPr>
          <w:lang w:val="da-DK"/>
        </w:rPr>
      </w:pPr>
      <w:r>
        <w:rPr>
          <w:noProof/>
        </w:rPr>
        <w:drawing>
          <wp:anchor distT="0" distB="0" distL="114300" distR="114300" simplePos="0" relativeHeight="251658240" behindDoc="0" locked="0" layoutInCell="1" allowOverlap="1" wp14:anchorId="31BFF3ED" wp14:editId="01866FDC">
            <wp:simplePos x="0" y="0"/>
            <wp:positionH relativeFrom="column">
              <wp:posOffset>512980</wp:posOffset>
            </wp:positionH>
            <wp:positionV relativeFrom="paragraph">
              <wp:posOffset>280035</wp:posOffset>
            </wp:positionV>
            <wp:extent cx="4572000" cy="2743200"/>
            <wp:effectExtent l="0" t="0" r="12700" b="12700"/>
            <wp:wrapSquare wrapText="bothSides"/>
            <wp:docPr id="3" name="Chart 3">
              <a:extLst xmlns:a="http://schemas.openxmlformats.org/drawingml/2006/main">
                <a:ext uri="{FF2B5EF4-FFF2-40B4-BE49-F238E27FC236}">
                  <a16:creationId xmlns:a16="http://schemas.microsoft.com/office/drawing/2014/main" id="{0532187C-5369-E348-AB36-A63AED95E2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29031D6C" w14:textId="1F31A675" w:rsidR="00D3203C" w:rsidRDefault="00517479" w:rsidP="00D3203C">
      <w:pPr>
        <w:spacing w:line="360" w:lineRule="auto"/>
        <w:rPr>
          <w:lang w:val="da-DK"/>
        </w:rPr>
      </w:pPr>
      <w:r>
        <w:rPr>
          <w:b/>
          <w:bCs/>
          <w:lang w:val="da-DK"/>
        </w:rPr>
        <w:t xml:space="preserve"> </w:t>
      </w:r>
      <w:r w:rsidR="007D0CAC">
        <w:rPr>
          <w:lang w:val="da-DK"/>
        </w:rPr>
        <w:t xml:space="preserve"> </w:t>
      </w:r>
      <w:r w:rsidR="00D3203C">
        <w:rPr>
          <w:lang w:val="da-DK"/>
        </w:rPr>
        <w:t xml:space="preserve"> </w:t>
      </w:r>
    </w:p>
    <w:p w14:paraId="2CA6A11C" w14:textId="489D8C9E" w:rsidR="00D3203C" w:rsidRDefault="00D3203C" w:rsidP="00D3203C">
      <w:pPr>
        <w:spacing w:line="360" w:lineRule="auto"/>
        <w:rPr>
          <w:lang w:val="da-DK"/>
        </w:rPr>
      </w:pPr>
    </w:p>
    <w:p w14:paraId="5F286E66" w14:textId="29F8387B" w:rsidR="00517479" w:rsidRDefault="00517479" w:rsidP="00D3203C">
      <w:pPr>
        <w:spacing w:line="360" w:lineRule="auto"/>
        <w:rPr>
          <w:lang w:val="da-DK"/>
        </w:rPr>
      </w:pPr>
    </w:p>
    <w:p w14:paraId="329B918A" w14:textId="152B2038" w:rsidR="00517479" w:rsidRDefault="00517479" w:rsidP="00D3203C">
      <w:pPr>
        <w:spacing w:line="360" w:lineRule="auto"/>
        <w:rPr>
          <w:lang w:val="da-DK"/>
        </w:rPr>
      </w:pPr>
    </w:p>
    <w:p w14:paraId="327FC9F4" w14:textId="6B7365A9" w:rsidR="00517479" w:rsidRDefault="00517479" w:rsidP="00D3203C">
      <w:pPr>
        <w:spacing w:line="360" w:lineRule="auto"/>
        <w:rPr>
          <w:lang w:val="da-DK"/>
        </w:rPr>
      </w:pPr>
    </w:p>
    <w:p w14:paraId="4510044C" w14:textId="1281B3D9" w:rsidR="00517479" w:rsidRDefault="00517479" w:rsidP="00D3203C">
      <w:pPr>
        <w:spacing w:line="360" w:lineRule="auto"/>
        <w:rPr>
          <w:lang w:val="da-DK"/>
        </w:rPr>
      </w:pPr>
    </w:p>
    <w:p w14:paraId="14DD5650" w14:textId="0A4503AC" w:rsidR="00517479" w:rsidRDefault="00517479" w:rsidP="00D3203C">
      <w:pPr>
        <w:spacing w:line="360" w:lineRule="auto"/>
        <w:rPr>
          <w:lang w:val="da-DK"/>
        </w:rPr>
      </w:pPr>
    </w:p>
    <w:p w14:paraId="14AA9156" w14:textId="3490D976" w:rsidR="00517479" w:rsidRDefault="00517479" w:rsidP="00D3203C">
      <w:pPr>
        <w:spacing w:line="360" w:lineRule="auto"/>
        <w:rPr>
          <w:lang w:val="da-DK"/>
        </w:rPr>
      </w:pPr>
    </w:p>
    <w:p w14:paraId="33F34EB9" w14:textId="5DCE2FEB" w:rsidR="007746EA" w:rsidRDefault="007746EA" w:rsidP="00D3203C">
      <w:pPr>
        <w:spacing w:line="360" w:lineRule="auto"/>
        <w:rPr>
          <w:lang w:val="da-DK"/>
        </w:rPr>
      </w:pPr>
    </w:p>
    <w:p w14:paraId="4A114567" w14:textId="77777777" w:rsidR="009A59E0" w:rsidRDefault="009A59E0" w:rsidP="00D3203C">
      <w:pPr>
        <w:spacing w:line="360" w:lineRule="auto"/>
        <w:rPr>
          <w:lang w:val="da-DK"/>
        </w:rPr>
      </w:pPr>
    </w:p>
    <w:p w14:paraId="182006DB" w14:textId="1FB3CF96" w:rsidR="007746EA" w:rsidRDefault="007746EA" w:rsidP="00D3203C">
      <w:pPr>
        <w:spacing w:line="360" w:lineRule="auto"/>
        <w:rPr>
          <w:lang w:val="da-DK"/>
        </w:rPr>
      </w:pPr>
    </w:p>
    <w:p w14:paraId="502F60AB" w14:textId="449C5C48" w:rsidR="007746EA" w:rsidRDefault="007746EA" w:rsidP="00D3203C">
      <w:pPr>
        <w:spacing w:line="360" w:lineRule="auto"/>
        <w:rPr>
          <w:lang w:val="da-DK"/>
        </w:rPr>
      </w:pPr>
    </w:p>
    <w:tbl>
      <w:tblPr>
        <w:tblW w:w="5308" w:type="pct"/>
        <w:tblLook w:val="04A0" w:firstRow="1" w:lastRow="0" w:firstColumn="1" w:lastColumn="0" w:noHBand="0" w:noVBand="1"/>
      </w:tblPr>
      <w:tblGrid>
        <w:gridCol w:w="954"/>
        <w:gridCol w:w="997"/>
        <w:gridCol w:w="997"/>
        <w:gridCol w:w="997"/>
        <w:gridCol w:w="997"/>
        <w:gridCol w:w="997"/>
        <w:gridCol w:w="997"/>
        <w:gridCol w:w="997"/>
        <w:gridCol w:w="997"/>
        <w:gridCol w:w="997"/>
      </w:tblGrid>
      <w:tr w:rsidR="007746EA" w:rsidRPr="007746EA" w14:paraId="086731B1" w14:textId="77777777" w:rsidTr="007746EA">
        <w:trPr>
          <w:trHeight w:val="361"/>
        </w:trPr>
        <w:tc>
          <w:tcPr>
            <w:tcW w:w="5000" w:type="pct"/>
            <w:gridSpan w:val="10"/>
            <w:tcBorders>
              <w:top w:val="single" w:sz="8" w:space="0" w:color="auto"/>
              <w:left w:val="single" w:sz="8" w:space="0" w:color="auto"/>
              <w:bottom w:val="nil"/>
              <w:right w:val="single" w:sz="8" w:space="0" w:color="000000"/>
            </w:tcBorders>
            <w:shd w:val="clear" w:color="auto" w:fill="auto"/>
            <w:vAlign w:val="bottom"/>
            <w:hideMark/>
          </w:tcPr>
          <w:p w14:paraId="35EE0CA0" w14:textId="77777777" w:rsidR="007746EA" w:rsidRPr="007746EA" w:rsidRDefault="007746EA" w:rsidP="007746EA">
            <w:pPr>
              <w:jc w:val="center"/>
              <w:rPr>
                <w:rFonts w:ascii="Calibri" w:eastAsia="Times New Roman" w:hAnsi="Calibri" w:cs="Calibri"/>
                <w:color w:val="000000"/>
                <w:sz w:val="22"/>
                <w:szCs w:val="22"/>
                <w:lang w:val="da-DK" w:eastAsia="en-GB"/>
              </w:rPr>
            </w:pPr>
            <w:r w:rsidRPr="007746EA">
              <w:rPr>
                <w:rFonts w:ascii="Calibri" w:eastAsia="Times New Roman" w:hAnsi="Calibri" w:cs="Calibri"/>
                <w:color w:val="000000"/>
                <w:sz w:val="22"/>
                <w:szCs w:val="22"/>
                <w:lang w:val="da-DK" w:eastAsia="en-GB"/>
              </w:rPr>
              <w:lastRenderedPageBreak/>
              <w:t>Tabel 3.1: Udvikling i unge mennesker 2020-2040</w:t>
            </w:r>
          </w:p>
        </w:tc>
      </w:tr>
      <w:tr w:rsidR="007746EA" w:rsidRPr="007746EA" w14:paraId="079AB55A" w14:textId="77777777" w:rsidTr="007746EA">
        <w:trPr>
          <w:trHeight w:val="318"/>
        </w:trPr>
        <w:tc>
          <w:tcPr>
            <w:tcW w:w="481" w:type="pct"/>
            <w:tcBorders>
              <w:top w:val="single" w:sz="4" w:space="0" w:color="auto"/>
              <w:left w:val="single" w:sz="4" w:space="0" w:color="auto"/>
              <w:bottom w:val="single" w:sz="4" w:space="0" w:color="auto"/>
              <w:right w:val="nil"/>
            </w:tcBorders>
            <w:shd w:val="clear" w:color="auto" w:fill="auto"/>
            <w:vAlign w:val="bottom"/>
            <w:hideMark/>
          </w:tcPr>
          <w:p w14:paraId="79EA056D" w14:textId="77777777" w:rsidR="007746EA" w:rsidRPr="007746EA" w:rsidRDefault="007746EA" w:rsidP="007746EA">
            <w:pPr>
              <w:rPr>
                <w:rFonts w:ascii="Calibri" w:eastAsia="Times New Roman" w:hAnsi="Calibri" w:cs="Calibri"/>
                <w:color w:val="000000"/>
                <w:sz w:val="22"/>
                <w:szCs w:val="22"/>
                <w:lang w:val="da-DK" w:eastAsia="en-GB"/>
              </w:rPr>
            </w:pPr>
            <w:r w:rsidRPr="007746EA">
              <w:rPr>
                <w:rFonts w:ascii="Calibri" w:eastAsia="Times New Roman" w:hAnsi="Calibri" w:cs="Calibri"/>
                <w:color w:val="000000"/>
                <w:sz w:val="22"/>
                <w:szCs w:val="22"/>
                <w:lang w:val="da-DK" w:eastAsia="en-GB"/>
              </w:rPr>
              <w:t> </w:t>
            </w:r>
          </w:p>
        </w:tc>
        <w:tc>
          <w:tcPr>
            <w:tcW w:w="502" w:type="pct"/>
            <w:tcBorders>
              <w:top w:val="single" w:sz="4" w:space="0" w:color="auto"/>
              <w:left w:val="nil"/>
              <w:bottom w:val="single" w:sz="4" w:space="0" w:color="auto"/>
              <w:right w:val="nil"/>
            </w:tcBorders>
            <w:shd w:val="clear" w:color="auto" w:fill="auto"/>
            <w:noWrap/>
            <w:vAlign w:val="bottom"/>
            <w:hideMark/>
          </w:tcPr>
          <w:p w14:paraId="21DF144B" w14:textId="77777777" w:rsidR="007746EA" w:rsidRPr="007746EA" w:rsidRDefault="007746EA" w:rsidP="007746EA">
            <w:pPr>
              <w:rPr>
                <w:rFonts w:ascii="Calibri" w:eastAsia="Times New Roman" w:hAnsi="Calibri" w:cs="Calibri"/>
                <w:b/>
                <w:bCs/>
                <w:color w:val="000000"/>
                <w:sz w:val="22"/>
                <w:szCs w:val="22"/>
                <w:lang w:eastAsia="en-GB"/>
              </w:rPr>
            </w:pPr>
            <w:r w:rsidRPr="007746EA">
              <w:rPr>
                <w:rFonts w:ascii="Calibri" w:eastAsia="Times New Roman" w:hAnsi="Calibri" w:cs="Calibri"/>
                <w:b/>
                <w:bCs/>
                <w:color w:val="000000"/>
                <w:sz w:val="22"/>
                <w:szCs w:val="22"/>
                <w:lang w:eastAsia="en-GB"/>
              </w:rPr>
              <w:t>2020</w:t>
            </w:r>
          </w:p>
        </w:tc>
        <w:tc>
          <w:tcPr>
            <w:tcW w:w="502" w:type="pct"/>
            <w:tcBorders>
              <w:top w:val="single" w:sz="4" w:space="0" w:color="auto"/>
              <w:left w:val="nil"/>
              <w:bottom w:val="single" w:sz="4" w:space="0" w:color="auto"/>
              <w:right w:val="nil"/>
            </w:tcBorders>
            <w:shd w:val="clear" w:color="auto" w:fill="auto"/>
            <w:noWrap/>
            <w:vAlign w:val="bottom"/>
            <w:hideMark/>
          </w:tcPr>
          <w:p w14:paraId="061A5818" w14:textId="77777777" w:rsidR="007746EA" w:rsidRPr="007746EA" w:rsidRDefault="007746EA" w:rsidP="007746EA">
            <w:pPr>
              <w:rPr>
                <w:rFonts w:ascii="Calibri" w:eastAsia="Times New Roman" w:hAnsi="Calibri" w:cs="Calibri"/>
                <w:b/>
                <w:bCs/>
                <w:color w:val="000000"/>
                <w:sz w:val="22"/>
                <w:szCs w:val="22"/>
                <w:lang w:eastAsia="en-GB"/>
              </w:rPr>
            </w:pPr>
            <w:r w:rsidRPr="007746EA">
              <w:rPr>
                <w:rFonts w:ascii="Calibri" w:eastAsia="Times New Roman" w:hAnsi="Calibri" w:cs="Calibri"/>
                <w:b/>
                <w:bCs/>
                <w:color w:val="000000"/>
                <w:sz w:val="22"/>
                <w:szCs w:val="22"/>
                <w:lang w:eastAsia="en-GB"/>
              </w:rPr>
              <w:t>2021</w:t>
            </w:r>
          </w:p>
        </w:tc>
        <w:tc>
          <w:tcPr>
            <w:tcW w:w="502" w:type="pct"/>
            <w:tcBorders>
              <w:top w:val="single" w:sz="4" w:space="0" w:color="auto"/>
              <w:left w:val="nil"/>
              <w:bottom w:val="single" w:sz="4" w:space="0" w:color="auto"/>
              <w:right w:val="nil"/>
            </w:tcBorders>
            <w:shd w:val="clear" w:color="auto" w:fill="auto"/>
            <w:noWrap/>
            <w:vAlign w:val="bottom"/>
            <w:hideMark/>
          </w:tcPr>
          <w:p w14:paraId="3BB231D6" w14:textId="77777777" w:rsidR="007746EA" w:rsidRPr="007746EA" w:rsidRDefault="007746EA" w:rsidP="007746EA">
            <w:pPr>
              <w:rPr>
                <w:rFonts w:ascii="Calibri" w:eastAsia="Times New Roman" w:hAnsi="Calibri" w:cs="Calibri"/>
                <w:b/>
                <w:bCs/>
                <w:color w:val="000000"/>
                <w:sz w:val="22"/>
                <w:szCs w:val="22"/>
                <w:lang w:eastAsia="en-GB"/>
              </w:rPr>
            </w:pPr>
            <w:r w:rsidRPr="007746EA">
              <w:rPr>
                <w:rFonts w:ascii="Calibri" w:eastAsia="Times New Roman" w:hAnsi="Calibri" w:cs="Calibri"/>
                <w:b/>
                <w:bCs/>
                <w:color w:val="000000"/>
                <w:sz w:val="22"/>
                <w:szCs w:val="22"/>
                <w:lang w:eastAsia="en-GB"/>
              </w:rPr>
              <w:t>2022</w:t>
            </w:r>
          </w:p>
        </w:tc>
        <w:tc>
          <w:tcPr>
            <w:tcW w:w="502" w:type="pct"/>
            <w:tcBorders>
              <w:top w:val="single" w:sz="4" w:space="0" w:color="auto"/>
              <w:left w:val="nil"/>
              <w:bottom w:val="single" w:sz="4" w:space="0" w:color="auto"/>
              <w:right w:val="nil"/>
            </w:tcBorders>
            <w:shd w:val="clear" w:color="auto" w:fill="auto"/>
            <w:noWrap/>
            <w:vAlign w:val="bottom"/>
            <w:hideMark/>
          </w:tcPr>
          <w:p w14:paraId="3E2EC385" w14:textId="77777777" w:rsidR="007746EA" w:rsidRPr="007746EA" w:rsidRDefault="007746EA" w:rsidP="007746EA">
            <w:pPr>
              <w:rPr>
                <w:rFonts w:ascii="Calibri" w:eastAsia="Times New Roman" w:hAnsi="Calibri" w:cs="Calibri"/>
                <w:b/>
                <w:bCs/>
                <w:color w:val="000000"/>
                <w:sz w:val="22"/>
                <w:szCs w:val="22"/>
                <w:lang w:eastAsia="en-GB"/>
              </w:rPr>
            </w:pPr>
            <w:r w:rsidRPr="007746EA">
              <w:rPr>
                <w:rFonts w:ascii="Calibri" w:eastAsia="Times New Roman" w:hAnsi="Calibri" w:cs="Calibri"/>
                <w:b/>
                <w:bCs/>
                <w:color w:val="000000"/>
                <w:sz w:val="22"/>
                <w:szCs w:val="22"/>
                <w:lang w:eastAsia="en-GB"/>
              </w:rPr>
              <w:t>2023</w:t>
            </w:r>
          </w:p>
        </w:tc>
        <w:tc>
          <w:tcPr>
            <w:tcW w:w="502" w:type="pct"/>
            <w:tcBorders>
              <w:top w:val="single" w:sz="4" w:space="0" w:color="auto"/>
              <w:left w:val="nil"/>
              <w:bottom w:val="single" w:sz="4" w:space="0" w:color="auto"/>
              <w:right w:val="nil"/>
            </w:tcBorders>
            <w:shd w:val="clear" w:color="auto" w:fill="auto"/>
            <w:noWrap/>
            <w:vAlign w:val="bottom"/>
            <w:hideMark/>
          </w:tcPr>
          <w:p w14:paraId="230FAAEC" w14:textId="77777777" w:rsidR="007746EA" w:rsidRPr="007746EA" w:rsidRDefault="007746EA" w:rsidP="007746EA">
            <w:pPr>
              <w:rPr>
                <w:rFonts w:ascii="Calibri" w:eastAsia="Times New Roman" w:hAnsi="Calibri" w:cs="Calibri"/>
                <w:b/>
                <w:bCs/>
                <w:color w:val="000000"/>
                <w:sz w:val="22"/>
                <w:szCs w:val="22"/>
                <w:lang w:eastAsia="en-GB"/>
              </w:rPr>
            </w:pPr>
            <w:r w:rsidRPr="007746EA">
              <w:rPr>
                <w:rFonts w:ascii="Calibri" w:eastAsia="Times New Roman" w:hAnsi="Calibri" w:cs="Calibri"/>
                <w:b/>
                <w:bCs/>
                <w:color w:val="000000"/>
                <w:sz w:val="22"/>
                <w:szCs w:val="22"/>
                <w:lang w:eastAsia="en-GB"/>
              </w:rPr>
              <w:t>2024</w:t>
            </w:r>
          </w:p>
        </w:tc>
        <w:tc>
          <w:tcPr>
            <w:tcW w:w="502" w:type="pct"/>
            <w:tcBorders>
              <w:top w:val="single" w:sz="4" w:space="0" w:color="auto"/>
              <w:left w:val="nil"/>
              <w:bottom w:val="single" w:sz="4" w:space="0" w:color="auto"/>
              <w:right w:val="nil"/>
            </w:tcBorders>
            <w:shd w:val="clear" w:color="auto" w:fill="auto"/>
            <w:noWrap/>
            <w:vAlign w:val="bottom"/>
            <w:hideMark/>
          </w:tcPr>
          <w:p w14:paraId="2B1CDEE7" w14:textId="77777777" w:rsidR="007746EA" w:rsidRPr="007746EA" w:rsidRDefault="007746EA" w:rsidP="007746EA">
            <w:pPr>
              <w:rPr>
                <w:rFonts w:ascii="Calibri" w:eastAsia="Times New Roman" w:hAnsi="Calibri" w:cs="Calibri"/>
                <w:b/>
                <w:bCs/>
                <w:color w:val="000000"/>
                <w:sz w:val="22"/>
                <w:szCs w:val="22"/>
                <w:lang w:eastAsia="en-GB"/>
              </w:rPr>
            </w:pPr>
            <w:r w:rsidRPr="007746EA">
              <w:rPr>
                <w:rFonts w:ascii="Calibri" w:eastAsia="Times New Roman" w:hAnsi="Calibri" w:cs="Calibri"/>
                <w:b/>
                <w:bCs/>
                <w:color w:val="000000"/>
                <w:sz w:val="22"/>
                <w:szCs w:val="22"/>
                <w:lang w:eastAsia="en-GB"/>
              </w:rPr>
              <w:t>2025</w:t>
            </w:r>
          </w:p>
        </w:tc>
        <w:tc>
          <w:tcPr>
            <w:tcW w:w="502" w:type="pct"/>
            <w:tcBorders>
              <w:top w:val="single" w:sz="4" w:space="0" w:color="auto"/>
              <w:left w:val="nil"/>
              <w:bottom w:val="single" w:sz="4" w:space="0" w:color="auto"/>
              <w:right w:val="nil"/>
            </w:tcBorders>
            <w:shd w:val="clear" w:color="auto" w:fill="auto"/>
            <w:noWrap/>
            <w:vAlign w:val="bottom"/>
            <w:hideMark/>
          </w:tcPr>
          <w:p w14:paraId="0D9FFC1E" w14:textId="77777777" w:rsidR="007746EA" w:rsidRPr="007746EA" w:rsidRDefault="007746EA" w:rsidP="007746EA">
            <w:pPr>
              <w:rPr>
                <w:rFonts w:ascii="Calibri" w:eastAsia="Times New Roman" w:hAnsi="Calibri" w:cs="Calibri"/>
                <w:b/>
                <w:bCs/>
                <w:color w:val="000000"/>
                <w:sz w:val="22"/>
                <w:szCs w:val="22"/>
                <w:lang w:eastAsia="en-GB"/>
              </w:rPr>
            </w:pPr>
            <w:r w:rsidRPr="007746EA">
              <w:rPr>
                <w:rFonts w:ascii="Calibri" w:eastAsia="Times New Roman" w:hAnsi="Calibri" w:cs="Calibri"/>
                <w:b/>
                <w:bCs/>
                <w:color w:val="000000"/>
                <w:sz w:val="22"/>
                <w:szCs w:val="22"/>
                <w:lang w:eastAsia="en-GB"/>
              </w:rPr>
              <w:t>2030</w:t>
            </w:r>
          </w:p>
        </w:tc>
        <w:tc>
          <w:tcPr>
            <w:tcW w:w="502" w:type="pct"/>
            <w:tcBorders>
              <w:top w:val="single" w:sz="4" w:space="0" w:color="auto"/>
              <w:left w:val="nil"/>
              <w:bottom w:val="single" w:sz="4" w:space="0" w:color="auto"/>
              <w:right w:val="single" w:sz="4" w:space="0" w:color="auto"/>
            </w:tcBorders>
            <w:shd w:val="clear" w:color="auto" w:fill="auto"/>
            <w:noWrap/>
            <w:vAlign w:val="bottom"/>
            <w:hideMark/>
          </w:tcPr>
          <w:p w14:paraId="4D97C737" w14:textId="77777777" w:rsidR="007746EA" w:rsidRPr="007746EA" w:rsidRDefault="007746EA" w:rsidP="007746EA">
            <w:pPr>
              <w:rPr>
                <w:rFonts w:ascii="Calibri" w:eastAsia="Times New Roman" w:hAnsi="Calibri" w:cs="Calibri"/>
                <w:b/>
                <w:bCs/>
                <w:color w:val="000000"/>
                <w:sz w:val="22"/>
                <w:szCs w:val="22"/>
                <w:lang w:eastAsia="en-GB"/>
              </w:rPr>
            </w:pPr>
            <w:r w:rsidRPr="007746EA">
              <w:rPr>
                <w:rFonts w:ascii="Calibri" w:eastAsia="Times New Roman" w:hAnsi="Calibri" w:cs="Calibri"/>
                <w:b/>
                <w:bCs/>
                <w:color w:val="000000"/>
                <w:sz w:val="22"/>
                <w:szCs w:val="22"/>
                <w:lang w:eastAsia="en-GB"/>
              </w:rPr>
              <w:t>2035</w:t>
            </w:r>
          </w:p>
        </w:tc>
        <w:tc>
          <w:tcPr>
            <w:tcW w:w="502" w:type="pct"/>
            <w:tcBorders>
              <w:top w:val="nil"/>
              <w:left w:val="nil"/>
              <w:bottom w:val="nil"/>
              <w:right w:val="single" w:sz="8" w:space="0" w:color="auto"/>
            </w:tcBorders>
            <w:shd w:val="clear" w:color="auto" w:fill="auto"/>
            <w:noWrap/>
            <w:vAlign w:val="bottom"/>
            <w:hideMark/>
          </w:tcPr>
          <w:p w14:paraId="52C26B49" w14:textId="77777777" w:rsidR="007746EA" w:rsidRPr="007746EA" w:rsidRDefault="007746EA" w:rsidP="007746EA">
            <w:pPr>
              <w:rPr>
                <w:rFonts w:ascii="Calibri" w:eastAsia="Times New Roman" w:hAnsi="Calibri" w:cs="Calibri"/>
                <w:b/>
                <w:bCs/>
                <w:color w:val="000000"/>
                <w:sz w:val="22"/>
                <w:szCs w:val="22"/>
                <w:lang w:eastAsia="en-GB"/>
              </w:rPr>
            </w:pPr>
            <w:r w:rsidRPr="007746EA">
              <w:rPr>
                <w:rFonts w:ascii="Calibri" w:eastAsia="Times New Roman" w:hAnsi="Calibri" w:cs="Calibri"/>
                <w:b/>
                <w:bCs/>
                <w:color w:val="000000"/>
                <w:sz w:val="22"/>
                <w:szCs w:val="22"/>
                <w:lang w:eastAsia="en-GB"/>
              </w:rPr>
              <w:t>2040</w:t>
            </w:r>
          </w:p>
        </w:tc>
      </w:tr>
      <w:tr w:rsidR="007746EA" w:rsidRPr="007746EA" w14:paraId="5D49F426" w14:textId="77777777" w:rsidTr="007746EA">
        <w:trPr>
          <w:trHeight w:val="318"/>
        </w:trPr>
        <w:tc>
          <w:tcPr>
            <w:tcW w:w="481" w:type="pct"/>
            <w:tcBorders>
              <w:top w:val="nil"/>
              <w:left w:val="single" w:sz="4" w:space="0" w:color="auto"/>
              <w:bottom w:val="single" w:sz="4" w:space="0" w:color="auto"/>
              <w:right w:val="nil"/>
            </w:tcBorders>
            <w:shd w:val="clear" w:color="auto" w:fill="auto"/>
            <w:noWrap/>
            <w:vAlign w:val="bottom"/>
            <w:hideMark/>
          </w:tcPr>
          <w:p w14:paraId="552BEB67" w14:textId="77777777" w:rsidR="007746EA" w:rsidRPr="007746EA" w:rsidRDefault="007746EA" w:rsidP="007746EA">
            <w:pPr>
              <w:rPr>
                <w:rFonts w:ascii="Calibri" w:eastAsia="Times New Roman" w:hAnsi="Calibri" w:cs="Calibri"/>
                <w:b/>
                <w:bCs/>
                <w:color w:val="000000"/>
                <w:sz w:val="22"/>
                <w:szCs w:val="22"/>
                <w:lang w:eastAsia="en-GB"/>
              </w:rPr>
            </w:pPr>
            <w:r w:rsidRPr="007746EA">
              <w:rPr>
                <w:rFonts w:ascii="Calibri" w:eastAsia="Times New Roman" w:hAnsi="Calibri" w:cs="Calibri"/>
                <w:b/>
                <w:bCs/>
                <w:color w:val="000000"/>
                <w:sz w:val="22"/>
                <w:szCs w:val="22"/>
                <w:lang w:eastAsia="en-GB"/>
              </w:rPr>
              <w:t xml:space="preserve">0 - 5 </w:t>
            </w:r>
            <w:proofErr w:type="spellStart"/>
            <w:r w:rsidRPr="007746EA">
              <w:rPr>
                <w:rFonts w:ascii="Calibri" w:eastAsia="Times New Roman" w:hAnsi="Calibri" w:cs="Calibri"/>
                <w:b/>
                <w:bCs/>
                <w:color w:val="000000"/>
                <w:sz w:val="22"/>
                <w:szCs w:val="22"/>
                <w:lang w:eastAsia="en-GB"/>
              </w:rPr>
              <w:t>år</w:t>
            </w:r>
            <w:proofErr w:type="spellEnd"/>
          </w:p>
        </w:tc>
        <w:tc>
          <w:tcPr>
            <w:tcW w:w="502" w:type="pct"/>
            <w:tcBorders>
              <w:top w:val="nil"/>
              <w:left w:val="nil"/>
              <w:bottom w:val="single" w:sz="4" w:space="0" w:color="auto"/>
              <w:right w:val="nil"/>
            </w:tcBorders>
            <w:shd w:val="clear" w:color="auto" w:fill="auto"/>
            <w:noWrap/>
            <w:vAlign w:val="bottom"/>
            <w:hideMark/>
          </w:tcPr>
          <w:p w14:paraId="10F2A09E" w14:textId="77777777" w:rsidR="007746EA" w:rsidRPr="007746EA" w:rsidRDefault="007746EA" w:rsidP="007746EA">
            <w:pPr>
              <w:jc w:val="right"/>
              <w:rPr>
                <w:rFonts w:ascii="Calibri" w:eastAsia="Times New Roman" w:hAnsi="Calibri" w:cs="Calibri"/>
                <w:i/>
                <w:iCs/>
                <w:color w:val="000000"/>
                <w:sz w:val="22"/>
                <w:szCs w:val="22"/>
                <w:lang w:eastAsia="en-GB"/>
              </w:rPr>
            </w:pPr>
            <w:r w:rsidRPr="007746EA">
              <w:rPr>
                <w:rFonts w:ascii="Calibri" w:eastAsia="Times New Roman" w:hAnsi="Calibri" w:cs="Calibri"/>
                <w:i/>
                <w:iCs/>
                <w:color w:val="000000"/>
                <w:sz w:val="22"/>
                <w:szCs w:val="22"/>
                <w:lang w:eastAsia="en-GB"/>
              </w:rPr>
              <w:t>366881</w:t>
            </w:r>
          </w:p>
        </w:tc>
        <w:tc>
          <w:tcPr>
            <w:tcW w:w="502" w:type="pct"/>
            <w:tcBorders>
              <w:top w:val="nil"/>
              <w:left w:val="nil"/>
              <w:bottom w:val="single" w:sz="4" w:space="0" w:color="auto"/>
              <w:right w:val="nil"/>
            </w:tcBorders>
            <w:shd w:val="clear" w:color="auto" w:fill="auto"/>
            <w:noWrap/>
            <w:vAlign w:val="bottom"/>
            <w:hideMark/>
          </w:tcPr>
          <w:p w14:paraId="47088AD7" w14:textId="77777777" w:rsidR="007746EA" w:rsidRPr="007746EA" w:rsidRDefault="007746EA" w:rsidP="007746EA">
            <w:pPr>
              <w:jc w:val="right"/>
              <w:rPr>
                <w:rFonts w:ascii="Calibri" w:eastAsia="Times New Roman" w:hAnsi="Calibri" w:cs="Calibri"/>
                <w:i/>
                <w:iCs/>
                <w:color w:val="000000"/>
                <w:sz w:val="22"/>
                <w:szCs w:val="22"/>
                <w:lang w:eastAsia="en-GB"/>
              </w:rPr>
            </w:pPr>
            <w:r w:rsidRPr="007746EA">
              <w:rPr>
                <w:rFonts w:ascii="Calibri" w:eastAsia="Times New Roman" w:hAnsi="Calibri" w:cs="Calibri"/>
                <w:i/>
                <w:iCs/>
                <w:color w:val="000000"/>
                <w:sz w:val="22"/>
                <w:szCs w:val="22"/>
                <w:lang w:eastAsia="en-GB"/>
              </w:rPr>
              <w:t>370079</w:t>
            </w:r>
          </w:p>
        </w:tc>
        <w:tc>
          <w:tcPr>
            <w:tcW w:w="502" w:type="pct"/>
            <w:tcBorders>
              <w:top w:val="nil"/>
              <w:left w:val="nil"/>
              <w:bottom w:val="single" w:sz="4" w:space="0" w:color="auto"/>
              <w:right w:val="nil"/>
            </w:tcBorders>
            <w:shd w:val="clear" w:color="auto" w:fill="auto"/>
            <w:noWrap/>
            <w:vAlign w:val="bottom"/>
            <w:hideMark/>
          </w:tcPr>
          <w:p w14:paraId="2DC331D9" w14:textId="77777777" w:rsidR="007746EA" w:rsidRPr="007746EA" w:rsidRDefault="007746EA" w:rsidP="007746EA">
            <w:pPr>
              <w:jc w:val="right"/>
              <w:rPr>
                <w:rFonts w:ascii="Calibri" w:eastAsia="Times New Roman" w:hAnsi="Calibri" w:cs="Calibri"/>
                <w:i/>
                <w:iCs/>
                <w:color w:val="000000"/>
                <w:sz w:val="22"/>
                <w:szCs w:val="22"/>
                <w:lang w:eastAsia="en-GB"/>
              </w:rPr>
            </w:pPr>
            <w:r w:rsidRPr="007746EA">
              <w:rPr>
                <w:rFonts w:ascii="Calibri" w:eastAsia="Times New Roman" w:hAnsi="Calibri" w:cs="Calibri"/>
                <w:i/>
                <w:iCs/>
                <w:color w:val="000000"/>
                <w:sz w:val="22"/>
                <w:szCs w:val="22"/>
                <w:lang w:eastAsia="en-GB"/>
              </w:rPr>
              <w:t>373272</w:t>
            </w:r>
          </w:p>
        </w:tc>
        <w:tc>
          <w:tcPr>
            <w:tcW w:w="502" w:type="pct"/>
            <w:tcBorders>
              <w:top w:val="nil"/>
              <w:left w:val="nil"/>
              <w:bottom w:val="single" w:sz="4" w:space="0" w:color="auto"/>
              <w:right w:val="nil"/>
            </w:tcBorders>
            <w:shd w:val="clear" w:color="auto" w:fill="auto"/>
            <w:noWrap/>
            <w:vAlign w:val="bottom"/>
            <w:hideMark/>
          </w:tcPr>
          <w:p w14:paraId="345C2035" w14:textId="77777777" w:rsidR="007746EA" w:rsidRPr="007746EA" w:rsidRDefault="007746EA" w:rsidP="007746EA">
            <w:pPr>
              <w:jc w:val="right"/>
              <w:rPr>
                <w:rFonts w:ascii="Calibri" w:eastAsia="Times New Roman" w:hAnsi="Calibri" w:cs="Calibri"/>
                <w:i/>
                <w:iCs/>
                <w:color w:val="000000"/>
                <w:sz w:val="22"/>
                <w:szCs w:val="22"/>
                <w:lang w:eastAsia="en-GB"/>
              </w:rPr>
            </w:pPr>
            <w:r w:rsidRPr="007746EA">
              <w:rPr>
                <w:rFonts w:ascii="Calibri" w:eastAsia="Times New Roman" w:hAnsi="Calibri" w:cs="Calibri"/>
                <w:i/>
                <w:iCs/>
                <w:color w:val="000000"/>
                <w:sz w:val="22"/>
                <w:szCs w:val="22"/>
                <w:lang w:eastAsia="en-GB"/>
              </w:rPr>
              <w:t>374340</w:t>
            </w:r>
          </w:p>
        </w:tc>
        <w:tc>
          <w:tcPr>
            <w:tcW w:w="502" w:type="pct"/>
            <w:tcBorders>
              <w:top w:val="nil"/>
              <w:left w:val="nil"/>
              <w:bottom w:val="single" w:sz="4" w:space="0" w:color="auto"/>
              <w:right w:val="nil"/>
            </w:tcBorders>
            <w:shd w:val="clear" w:color="auto" w:fill="auto"/>
            <w:noWrap/>
            <w:vAlign w:val="bottom"/>
            <w:hideMark/>
          </w:tcPr>
          <w:p w14:paraId="4D4C6AF1" w14:textId="77777777" w:rsidR="007746EA" w:rsidRPr="007746EA" w:rsidRDefault="007746EA" w:rsidP="007746EA">
            <w:pPr>
              <w:jc w:val="right"/>
              <w:rPr>
                <w:rFonts w:ascii="Calibri" w:eastAsia="Times New Roman" w:hAnsi="Calibri" w:cs="Calibri"/>
                <w:i/>
                <w:iCs/>
                <w:color w:val="000000"/>
                <w:sz w:val="22"/>
                <w:szCs w:val="22"/>
                <w:lang w:eastAsia="en-GB"/>
              </w:rPr>
            </w:pPr>
            <w:r w:rsidRPr="007746EA">
              <w:rPr>
                <w:rFonts w:ascii="Calibri" w:eastAsia="Times New Roman" w:hAnsi="Calibri" w:cs="Calibri"/>
                <w:i/>
                <w:iCs/>
                <w:color w:val="000000"/>
                <w:sz w:val="22"/>
                <w:szCs w:val="22"/>
                <w:lang w:eastAsia="en-GB"/>
              </w:rPr>
              <w:t>377073</w:t>
            </w:r>
          </w:p>
        </w:tc>
        <w:tc>
          <w:tcPr>
            <w:tcW w:w="502" w:type="pct"/>
            <w:tcBorders>
              <w:top w:val="nil"/>
              <w:left w:val="nil"/>
              <w:bottom w:val="single" w:sz="4" w:space="0" w:color="auto"/>
              <w:right w:val="nil"/>
            </w:tcBorders>
            <w:shd w:val="clear" w:color="auto" w:fill="auto"/>
            <w:noWrap/>
            <w:vAlign w:val="bottom"/>
            <w:hideMark/>
          </w:tcPr>
          <w:p w14:paraId="07AF89A7" w14:textId="77777777" w:rsidR="007746EA" w:rsidRPr="007746EA" w:rsidRDefault="007746EA" w:rsidP="007746EA">
            <w:pPr>
              <w:jc w:val="right"/>
              <w:rPr>
                <w:rFonts w:ascii="Calibri" w:eastAsia="Times New Roman" w:hAnsi="Calibri" w:cs="Calibri"/>
                <w:i/>
                <w:iCs/>
                <w:color w:val="000000"/>
                <w:sz w:val="22"/>
                <w:szCs w:val="22"/>
                <w:lang w:eastAsia="en-GB"/>
              </w:rPr>
            </w:pPr>
            <w:r w:rsidRPr="007746EA">
              <w:rPr>
                <w:rFonts w:ascii="Calibri" w:eastAsia="Times New Roman" w:hAnsi="Calibri" w:cs="Calibri"/>
                <w:i/>
                <w:iCs/>
                <w:color w:val="000000"/>
                <w:sz w:val="22"/>
                <w:szCs w:val="22"/>
                <w:lang w:eastAsia="en-GB"/>
              </w:rPr>
              <w:t>381447</w:t>
            </w:r>
          </w:p>
        </w:tc>
        <w:tc>
          <w:tcPr>
            <w:tcW w:w="502" w:type="pct"/>
            <w:tcBorders>
              <w:top w:val="nil"/>
              <w:left w:val="nil"/>
              <w:bottom w:val="single" w:sz="4" w:space="0" w:color="auto"/>
              <w:right w:val="nil"/>
            </w:tcBorders>
            <w:shd w:val="clear" w:color="auto" w:fill="auto"/>
            <w:noWrap/>
            <w:vAlign w:val="bottom"/>
            <w:hideMark/>
          </w:tcPr>
          <w:p w14:paraId="744086EF" w14:textId="77777777" w:rsidR="007746EA" w:rsidRPr="007746EA" w:rsidRDefault="007746EA" w:rsidP="007746EA">
            <w:pPr>
              <w:jc w:val="right"/>
              <w:rPr>
                <w:rFonts w:ascii="Calibri" w:eastAsia="Times New Roman" w:hAnsi="Calibri" w:cs="Calibri"/>
                <w:i/>
                <w:iCs/>
                <w:color w:val="000000"/>
                <w:sz w:val="22"/>
                <w:szCs w:val="22"/>
                <w:lang w:eastAsia="en-GB"/>
              </w:rPr>
            </w:pPr>
            <w:r w:rsidRPr="007746EA">
              <w:rPr>
                <w:rFonts w:ascii="Calibri" w:eastAsia="Times New Roman" w:hAnsi="Calibri" w:cs="Calibri"/>
                <w:i/>
                <w:iCs/>
                <w:color w:val="000000"/>
                <w:sz w:val="22"/>
                <w:szCs w:val="22"/>
                <w:lang w:eastAsia="en-GB"/>
              </w:rPr>
              <w:t>420010</w:t>
            </w:r>
          </w:p>
        </w:tc>
        <w:tc>
          <w:tcPr>
            <w:tcW w:w="502" w:type="pct"/>
            <w:tcBorders>
              <w:top w:val="nil"/>
              <w:left w:val="nil"/>
              <w:bottom w:val="single" w:sz="4" w:space="0" w:color="auto"/>
              <w:right w:val="nil"/>
            </w:tcBorders>
            <w:shd w:val="clear" w:color="auto" w:fill="auto"/>
            <w:noWrap/>
            <w:vAlign w:val="bottom"/>
            <w:hideMark/>
          </w:tcPr>
          <w:p w14:paraId="6A8572A9" w14:textId="77777777" w:rsidR="007746EA" w:rsidRPr="007746EA" w:rsidRDefault="007746EA" w:rsidP="007746EA">
            <w:pPr>
              <w:jc w:val="right"/>
              <w:rPr>
                <w:rFonts w:ascii="Calibri" w:eastAsia="Times New Roman" w:hAnsi="Calibri" w:cs="Calibri"/>
                <w:i/>
                <w:iCs/>
                <w:color w:val="000000"/>
                <w:sz w:val="22"/>
                <w:szCs w:val="22"/>
                <w:lang w:eastAsia="en-GB"/>
              </w:rPr>
            </w:pPr>
            <w:r w:rsidRPr="007746EA">
              <w:rPr>
                <w:rFonts w:ascii="Calibri" w:eastAsia="Times New Roman" w:hAnsi="Calibri" w:cs="Calibri"/>
                <w:i/>
                <w:iCs/>
                <w:color w:val="000000"/>
                <w:sz w:val="22"/>
                <w:szCs w:val="22"/>
                <w:lang w:eastAsia="en-GB"/>
              </w:rPr>
              <w:t>430742</w:t>
            </w:r>
          </w:p>
        </w:tc>
        <w:tc>
          <w:tcPr>
            <w:tcW w:w="502" w:type="pct"/>
            <w:tcBorders>
              <w:top w:val="single" w:sz="4" w:space="0" w:color="auto"/>
              <w:left w:val="nil"/>
              <w:bottom w:val="single" w:sz="4" w:space="0" w:color="auto"/>
              <w:right w:val="single" w:sz="4" w:space="0" w:color="auto"/>
            </w:tcBorders>
            <w:shd w:val="clear" w:color="auto" w:fill="auto"/>
            <w:noWrap/>
            <w:vAlign w:val="bottom"/>
            <w:hideMark/>
          </w:tcPr>
          <w:p w14:paraId="1C8CB6B5" w14:textId="77777777" w:rsidR="007746EA" w:rsidRPr="007746EA" w:rsidRDefault="007746EA" w:rsidP="007746EA">
            <w:pPr>
              <w:jc w:val="right"/>
              <w:rPr>
                <w:rFonts w:ascii="Calibri" w:eastAsia="Times New Roman" w:hAnsi="Calibri" w:cs="Calibri"/>
                <w:i/>
                <w:iCs/>
                <w:color w:val="000000"/>
                <w:sz w:val="22"/>
                <w:szCs w:val="22"/>
                <w:lang w:eastAsia="en-GB"/>
              </w:rPr>
            </w:pPr>
            <w:r w:rsidRPr="007746EA">
              <w:rPr>
                <w:rFonts w:ascii="Calibri" w:eastAsia="Times New Roman" w:hAnsi="Calibri" w:cs="Calibri"/>
                <w:i/>
                <w:iCs/>
                <w:color w:val="000000"/>
                <w:sz w:val="22"/>
                <w:szCs w:val="22"/>
                <w:lang w:eastAsia="en-GB"/>
              </w:rPr>
              <w:t>422599</w:t>
            </w:r>
          </w:p>
        </w:tc>
      </w:tr>
      <w:tr w:rsidR="007746EA" w:rsidRPr="007746EA" w14:paraId="3AFA14AE" w14:textId="77777777" w:rsidTr="007746EA">
        <w:trPr>
          <w:trHeight w:val="318"/>
        </w:trPr>
        <w:tc>
          <w:tcPr>
            <w:tcW w:w="481" w:type="pct"/>
            <w:tcBorders>
              <w:top w:val="nil"/>
              <w:left w:val="single" w:sz="4" w:space="0" w:color="auto"/>
              <w:bottom w:val="single" w:sz="4" w:space="0" w:color="auto"/>
              <w:right w:val="nil"/>
            </w:tcBorders>
            <w:shd w:val="clear" w:color="auto" w:fill="auto"/>
            <w:noWrap/>
            <w:vAlign w:val="bottom"/>
            <w:hideMark/>
          </w:tcPr>
          <w:p w14:paraId="7928510F" w14:textId="77777777" w:rsidR="007746EA" w:rsidRPr="007746EA" w:rsidRDefault="007746EA" w:rsidP="007746EA">
            <w:pPr>
              <w:rPr>
                <w:rFonts w:ascii="Calibri" w:eastAsia="Times New Roman" w:hAnsi="Calibri" w:cs="Calibri"/>
                <w:b/>
                <w:bCs/>
                <w:color w:val="000000"/>
                <w:sz w:val="22"/>
                <w:szCs w:val="22"/>
                <w:lang w:eastAsia="en-GB"/>
              </w:rPr>
            </w:pPr>
            <w:r w:rsidRPr="007746EA">
              <w:rPr>
                <w:rFonts w:ascii="Calibri" w:eastAsia="Times New Roman" w:hAnsi="Calibri" w:cs="Calibri"/>
                <w:b/>
                <w:bCs/>
                <w:color w:val="000000"/>
                <w:sz w:val="22"/>
                <w:szCs w:val="22"/>
                <w:lang w:eastAsia="en-GB"/>
              </w:rPr>
              <w:t xml:space="preserve">6 - 15 </w:t>
            </w:r>
            <w:proofErr w:type="spellStart"/>
            <w:r w:rsidRPr="007746EA">
              <w:rPr>
                <w:rFonts w:ascii="Calibri" w:eastAsia="Times New Roman" w:hAnsi="Calibri" w:cs="Calibri"/>
                <w:b/>
                <w:bCs/>
                <w:color w:val="000000"/>
                <w:sz w:val="22"/>
                <w:szCs w:val="22"/>
                <w:lang w:eastAsia="en-GB"/>
              </w:rPr>
              <w:t>år</w:t>
            </w:r>
            <w:proofErr w:type="spellEnd"/>
          </w:p>
        </w:tc>
        <w:tc>
          <w:tcPr>
            <w:tcW w:w="502" w:type="pct"/>
            <w:tcBorders>
              <w:top w:val="nil"/>
              <w:left w:val="nil"/>
              <w:bottom w:val="single" w:sz="4" w:space="0" w:color="auto"/>
              <w:right w:val="nil"/>
            </w:tcBorders>
            <w:shd w:val="clear" w:color="auto" w:fill="auto"/>
            <w:noWrap/>
            <w:vAlign w:val="bottom"/>
            <w:hideMark/>
          </w:tcPr>
          <w:p w14:paraId="1ABAA4F0" w14:textId="77777777" w:rsidR="007746EA" w:rsidRPr="007746EA" w:rsidRDefault="007746EA" w:rsidP="007746EA">
            <w:pPr>
              <w:jc w:val="right"/>
              <w:rPr>
                <w:rFonts w:ascii="Calibri" w:eastAsia="Times New Roman" w:hAnsi="Calibri" w:cs="Calibri"/>
                <w:i/>
                <w:iCs/>
                <w:color w:val="000000"/>
                <w:sz w:val="22"/>
                <w:szCs w:val="22"/>
                <w:lang w:eastAsia="en-GB"/>
              </w:rPr>
            </w:pPr>
            <w:r w:rsidRPr="007746EA">
              <w:rPr>
                <w:rFonts w:ascii="Calibri" w:eastAsia="Times New Roman" w:hAnsi="Calibri" w:cs="Calibri"/>
                <w:i/>
                <w:iCs/>
                <w:color w:val="000000"/>
                <w:sz w:val="22"/>
                <w:szCs w:val="22"/>
                <w:lang w:eastAsia="en-GB"/>
              </w:rPr>
              <w:t>654005</w:t>
            </w:r>
          </w:p>
        </w:tc>
        <w:tc>
          <w:tcPr>
            <w:tcW w:w="502" w:type="pct"/>
            <w:tcBorders>
              <w:top w:val="nil"/>
              <w:left w:val="nil"/>
              <w:bottom w:val="single" w:sz="4" w:space="0" w:color="auto"/>
              <w:right w:val="nil"/>
            </w:tcBorders>
            <w:shd w:val="clear" w:color="auto" w:fill="auto"/>
            <w:noWrap/>
            <w:vAlign w:val="bottom"/>
            <w:hideMark/>
          </w:tcPr>
          <w:p w14:paraId="055641AA" w14:textId="77777777" w:rsidR="007746EA" w:rsidRPr="007746EA" w:rsidRDefault="007746EA" w:rsidP="007746EA">
            <w:pPr>
              <w:jc w:val="right"/>
              <w:rPr>
                <w:rFonts w:ascii="Calibri" w:eastAsia="Times New Roman" w:hAnsi="Calibri" w:cs="Calibri"/>
                <w:i/>
                <w:iCs/>
                <w:color w:val="000000"/>
                <w:sz w:val="22"/>
                <w:szCs w:val="22"/>
                <w:lang w:eastAsia="en-GB"/>
              </w:rPr>
            </w:pPr>
            <w:r w:rsidRPr="007746EA">
              <w:rPr>
                <w:rFonts w:ascii="Calibri" w:eastAsia="Times New Roman" w:hAnsi="Calibri" w:cs="Calibri"/>
                <w:i/>
                <w:iCs/>
                <w:color w:val="000000"/>
                <w:sz w:val="22"/>
                <w:szCs w:val="22"/>
                <w:lang w:eastAsia="en-GB"/>
              </w:rPr>
              <w:t>646465</w:t>
            </w:r>
          </w:p>
        </w:tc>
        <w:tc>
          <w:tcPr>
            <w:tcW w:w="502" w:type="pct"/>
            <w:tcBorders>
              <w:top w:val="nil"/>
              <w:left w:val="nil"/>
              <w:bottom w:val="single" w:sz="4" w:space="0" w:color="auto"/>
              <w:right w:val="nil"/>
            </w:tcBorders>
            <w:shd w:val="clear" w:color="auto" w:fill="auto"/>
            <w:noWrap/>
            <w:vAlign w:val="bottom"/>
            <w:hideMark/>
          </w:tcPr>
          <w:p w14:paraId="5921CC41" w14:textId="77777777" w:rsidR="007746EA" w:rsidRPr="007746EA" w:rsidRDefault="007746EA" w:rsidP="007746EA">
            <w:pPr>
              <w:jc w:val="right"/>
              <w:rPr>
                <w:rFonts w:ascii="Calibri" w:eastAsia="Times New Roman" w:hAnsi="Calibri" w:cs="Calibri"/>
                <w:i/>
                <w:iCs/>
                <w:color w:val="000000"/>
                <w:sz w:val="22"/>
                <w:szCs w:val="22"/>
                <w:lang w:eastAsia="en-GB"/>
              </w:rPr>
            </w:pPr>
            <w:r w:rsidRPr="007746EA">
              <w:rPr>
                <w:rFonts w:ascii="Calibri" w:eastAsia="Times New Roman" w:hAnsi="Calibri" w:cs="Calibri"/>
                <w:i/>
                <w:iCs/>
                <w:color w:val="000000"/>
                <w:sz w:val="22"/>
                <w:szCs w:val="22"/>
                <w:lang w:eastAsia="en-GB"/>
              </w:rPr>
              <w:t>639454</w:t>
            </w:r>
          </w:p>
        </w:tc>
        <w:tc>
          <w:tcPr>
            <w:tcW w:w="502" w:type="pct"/>
            <w:tcBorders>
              <w:top w:val="nil"/>
              <w:left w:val="nil"/>
              <w:bottom w:val="single" w:sz="4" w:space="0" w:color="auto"/>
              <w:right w:val="nil"/>
            </w:tcBorders>
            <w:shd w:val="clear" w:color="auto" w:fill="auto"/>
            <w:noWrap/>
            <w:vAlign w:val="bottom"/>
            <w:hideMark/>
          </w:tcPr>
          <w:p w14:paraId="00A5CDFB" w14:textId="77777777" w:rsidR="007746EA" w:rsidRPr="007746EA" w:rsidRDefault="007746EA" w:rsidP="007746EA">
            <w:pPr>
              <w:jc w:val="right"/>
              <w:rPr>
                <w:rFonts w:ascii="Calibri" w:eastAsia="Times New Roman" w:hAnsi="Calibri" w:cs="Calibri"/>
                <w:i/>
                <w:iCs/>
                <w:color w:val="000000"/>
                <w:sz w:val="22"/>
                <w:szCs w:val="22"/>
                <w:lang w:eastAsia="en-GB"/>
              </w:rPr>
            </w:pPr>
            <w:r w:rsidRPr="007746EA">
              <w:rPr>
                <w:rFonts w:ascii="Calibri" w:eastAsia="Times New Roman" w:hAnsi="Calibri" w:cs="Calibri"/>
                <w:i/>
                <w:iCs/>
                <w:color w:val="000000"/>
                <w:sz w:val="22"/>
                <w:szCs w:val="22"/>
                <w:lang w:eastAsia="en-GB"/>
              </w:rPr>
              <w:t>634370</w:t>
            </w:r>
          </w:p>
        </w:tc>
        <w:tc>
          <w:tcPr>
            <w:tcW w:w="502" w:type="pct"/>
            <w:tcBorders>
              <w:top w:val="nil"/>
              <w:left w:val="nil"/>
              <w:bottom w:val="single" w:sz="4" w:space="0" w:color="auto"/>
              <w:right w:val="nil"/>
            </w:tcBorders>
            <w:shd w:val="clear" w:color="auto" w:fill="auto"/>
            <w:noWrap/>
            <w:vAlign w:val="bottom"/>
            <w:hideMark/>
          </w:tcPr>
          <w:p w14:paraId="73DBCD07" w14:textId="77777777" w:rsidR="007746EA" w:rsidRPr="007746EA" w:rsidRDefault="007746EA" w:rsidP="007746EA">
            <w:pPr>
              <w:jc w:val="right"/>
              <w:rPr>
                <w:rFonts w:ascii="Calibri" w:eastAsia="Times New Roman" w:hAnsi="Calibri" w:cs="Calibri"/>
                <w:i/>
                <w:iCs/>
                <w:color w:val="000000"/>
                <w:sz w:val="22"/>
                <w:szCs w:val="22"/>
                <w:lang w:eastAsia="en-GB"/>
              </w:rPr>
            </w:pPr>
            <w:r w:rsidRPr="007746EA">
              <w:rPr>
                <w:rFonts w:ascii="Calibri" w:eastAsia="Times New Roman" w:hAnsi="Calibri" w:cs="Calibri"/>
                <w:i/>
                <w:iCs/>
                <w:color w:val="000000"/>
                <w:sz w:val="22"/>
                <w:szCs w:val="22"/>
                <w:lang w:eastAsia="en-GB"/>
              </w:rPr>
              <w:t>629520</w:t>
            </w:r>
          </w:p>
        </w:tc>
        <w:tc>
          <w:tcPr>
            <w:tcW w:w="502" w:type="pct"/>
            <w:tcBorders>
              <w:top w:val="nil"/>
              <w:left w:val="nil"/>
              <w:bottom w:val="single" w:sz="4" w:space="0" w:color="auto"/>
              <w:right w:val="nil"/>
            </w:tcBorders>
            <w:shd w:val="clear" w:color="auto" w:fill="auto"/>
            <w:noWrap/>
            <w:vAlign w:val="bottom"/>
            <w:hideMark/>
          </w:tcPr>
          <w:p w14:paraId="5255843F" w14:textId="77777777" w:rsidR="007746EA" w:rsidRPr="007746EA" w:rsidRDefault="007746EA" w:rsidP="007746EA">
            <w:pPr>
              <w:jc w:val="right"/>
              <w:rPr>
                <w:rFonts w:ascii="Calibri" w:eastAsia="Times New Roman" w:hAnsi="Calibri" w:cs="Calibri"/>
                <w:i/>
                <w:iCs/>
                <w:color w:val="000000"/>
                <w:sz w:val="22"/>
                <w:szCs w:val="22"/>
                <w:lang w:eastAsia="en-GB"/>
              </w:rPr>
            </w:pPr>
            <w:r w:rsidRPr="007746EA">
              <w:rPr>
                <w:rFonts w:ascii="Calibri" w:eastAsia="Times New Roman" w:hAnsi="Calibri" w:cs="Calibri"/>
                <w:i/>
                <w:iCs/>
                <w:color w:val="000000"/>
                <w:sz w:val="22"/>
                <w:szCs w:val="22"/>
                <w:lang w:eastAsia="en-GB"/>
              </w:rPr>
              <w:t>623541</w:t>
            </w:r>
          </w:p>
        </w:tc>
        <w:tc>
          <w:tcPr>
            <w:tcW w:w="502" w:type="pct"/>
            <w:tcBorders>
              <w:top w:val="nil"/>
              <w:left w:val="nil"/>
              <w:bottom w:val="single" w:sz="4" w:space="0" w:color="auto"/>
              <w:right w:val="nil"/>
            </w:tcBorders>
            <w:shd w:val="clear" w:color="auto" w:fill="auto"/>
            <w:noWrap/>
            <w:vAlign w:val="bottom"/>
            <w:hideMark/>
          </w:tcPr>
          <w:p w14:paraId="35BF5043" w14:textId="77777777" w:rsidR="007746EA" w:rsidRPr="007746EA" w:rsidRDefault="007746EA" w:rsidP="007746EA">
            <w:pPr>
              <w:jc w:val="right"/>
              <w:rPr>
                <w:rFonts w:ascii="Calibri" w:eastAsia="Times New Roman" w:hAnsi="Calibri" w:cs="Calibri"/>
                <w:i/>
                <w:iCs/>
                <w:color w:val="000000"/>
                <w:sz w:val="22"/>
                <w:szCs w:val="22"/>
                <w:lang w:eastAsia="en-GB"/>
              </w:rPr>
            </w:pPr>
            <w:r w:rsidRPr="007746EA">
              <w:rPr>
                <w:rFonts w:ascii="Calibri" w:eastAsia="Times New Roman" w:hAnsi="Calibri" w:cs="Calibri"/>
                <w:i/>
                <w:iCs/>
                <w:color w:val="000000"/>
                <w:sz w:val="22"/>
                <w:szCs w:val="22"/>
                <w:lang w:eastAsia="en-GB"/>
              </w:rPr>
              <w:t>626733</w:t>
            </w:r>
          </w:p>
        </w:tc>
        <w:tc>
          <w:tcPr>
            <w:tcW w:w="502" w:type="pct"/>
            <w:tcBorders>
              <w:top w:val="nil"/>
              <w:left w:val="nil"/>
              <w:bottom w:val="single" w:sz="4" w:space="0" w:color="auto"/>
              <w:right w:val="nil"/>
            </w:tcBorders>
            <w:shd w:val="clear" w:color="auto" w:fill="auto"/>
            <w:noWrap/>
            <w:vAlign w:val="bottom"/>
            <w:hideMark/>
          </w:tcPr>
          <w:p w14:paraId="0776D8FC" w14:textId="77777777" w:rsidR="007746EA" w:rsidRPr="007746EA" w:rsidRDefault="007746EA" w:rsidP="007746EA">
            <w:pPr>
              <w:jc w:val="right"/>
              <w:rPr>
                <w:rFonts w:ascii="Calibri" w:eastAsia="Times New Roman" w:hAnsi="Calibri" w:cs="Calibri"/>
                <w:i/>
                <w:iCs/>
                <w:color w:val="000000"/>
                <w:sz w:val="22"/>
                <w:szCs w:val="22"/>
                <w:lang w:eastAsia="en-GB"/>
              </w:rPr>
            </w:pPr>
            <w:r w:rsidRPr="007746EA">
              <w:rPr>
                <w:rFonts w:ascii="Calibri" w:eastAsia="Times New Roman" w:hAnsi="Calibri" w:cs="Calibri"/>
                <w:i/>
                <w:iCs/>
                <w:color w:val="000000"/>
                <w:sz w:val="22"/>
                <w:szCs w:val="22"/>
                <w:lang w:eastAsia="en-GB"/>
              </w:rPr>
              <w:t>668899</w:t>
            </w:r>
          </w:p>
        </w:tc>
        <w:tc>
          <w:tcPr>
            <w:tcW w:w="502" w:type="pct"/>
            <w:tcBorders>
              <w:top w:val="nil"/>
              <w:left w:val="nil"/>
              <w:bottom w:val="single" w:sz="4" w:space="0" w:color="auto"/>
              <w:right w:val="single" w:sz="4" w:space="0" w:color="auto"/>
            </w:tcBorders>
            <w:shd w:val="clear" w:color="auto" w:fill="auto"/>
            <w:noWrap/>
            <w:vAlign w:val="bottom"/>
            <w:hideMark/>
          </w:tcPr>
          <w:p w14:paraId="756EE953" w14:textId="77777777" w:rsidR="007746EA" w:rsidRPr="007746EA" w:rsidRDefault="007746EA" w:rsidP="007746EA">
            <w:pPr>
              <w:jc w:val="right"/>
              <w:rPr>
                <w:rFonts w:ascii="Calibri" w:eastAsia="Times New Roman" w:hAnsi="Calibri" w:cs="Calibri"/>
                <w:i/>
                <w:iCs/>
                <w:color w:val="000000"/>
                <w:sz w:val="22"/>
                <w:szCs w:val="22"/>
                <w:lang w:eastAsia="en-GB"/>
              </w:rPr>
            </w:pPr>
            <w:r w:rsidRPr="007746EA">
              <w:rPr>
                <w:rFonts w:ascii="Calibri" w:eastAsia="Times New Roman" w:hAnsi="Calibri" w:cs="Calibri"/>
                <w:i/>
                <w:iCs/>
                <w:color w:val="000000"/>
                <w:sz w:val="22"/>
                <w:szCs w:val="22"/>
                <w:lang w:eastAsia="en-GB"/>
              </w:rPr>
              <w:t>712826</w:t>
            </w:r>
          </w:p>
        </w:tc>
      </w:tr>
      <w:tr w:rsidR="007746EA" w:rsidRPr="007746EA" w14:paraId="0B554AC2" w14:textId="77777777" w:rsidTr="007746EA">
        <w:trPr>
          <w:trHeight w:val="361"/>
        </w:trPr>
        <w:tc>
          <w:tcPr>
            <w:tcW w:w="481" w:type="pct"/>
            <w:tcBorders>
              <w:top w:val="nil"/>
              <w:left w:val="single" w:sz="8" w:space="0" w:color="auto"/>
              <w:bottom w:val="single" w:sz="8" w:space="0" w:color="auto"/>
              <w:right w:val="nil"/>
            </w:tcBorders>
            <w:shd w:val="clear" w:color="auto" w:fill="auto"/>
            <w:vAlign w:val="bottom"/>
            <w:hideMark/>
          </w:tcPr>
          <w:p w14:paraId="26F8370C" w14:textId="77777777" w:rsidR="007746EA" w:rsidRPr="007746EA" w:rsidRDefault="007746EA" w:rsidP="007746EA">
            <w:pPr>
              <w:rPr>
                <w:rFonts w:ascii="Calibri" w:eastAsia="Times New Roman" w:hAnsi="Calibri" w:cs="Calibri"/>
                <w:b/>
                <w:bCs/>
                <w:color w:val="000000"/>
                <w:sz w:val="22"/>
                <w:szCs w:val="22"/>
                <w:lang w:eastAsia="en-GB"/>
              </w:rPr>
            </w:pPr>
            <w:r w:rsidRPr="007746EA">
              <w:rPr>
                <w:rFonts w:ascii="Calibri" w:eastAsia="Times New Roman" w:hAnsi="Calibri" w:cs="Calibri"/>
                <w:b/>
                <w:bCs/>
                <w:color w:val="000000"/>
                <w:sz w:val="22"/>
                <w:szCs w:val="22"/>
                <w:lang w:eastAsia="en-GB"/>
              </w:rPr>
              <w:t>Samlet</w:t>
            </w:r>
          </w:p>
        </w:tc>
        <w:tc>
          <w:tcPr>
            <w:tcW w:w="502" w:type="pct"/>
            <w:tcBorders>
              <w:top w:val="nil"/>
              <w:left w:val="nil"/>
              <w:bottom w:val="single" w:sz="8" w:space="0" w:color="auto"/>
              <w:right w:val="nil"/>
            </w:tcBorders>
            <w:shd w:val="clear" w:color="auto" w:fill="auto"/>
            <w:noWrap/>
            <w:vAlign w:val="bottom"/>
            <w:hideMark/>
          </w:tcPr>
          <w:p w14:paraId="1B64870D" w14:textId="77777777" w:rsidR="007746EA" w:rsidRPr="007746EA" w:rsidRDefault="007746EA" w:rsidP="007746EA">
            <w:pPr>
              <w:jc w:val="right"/>
              <w:rPr>
                <w:rFonts w:ascii="Calibri" w:eastAsia="Times New Roman" w:hAnsi="Calibri" w:cs="Calibri"/>
                <w:color w:val="000000"/>
                <w:sz w:val="22"/>
                <w:szCs w:val="22"/>
                <w:u w:val="single"/>
                <w:lang w:eastAsia="en-GB"/>
              </w:rPr>
            </w:pPr>
            <w:r w:rsidRPr="007746EA">
              <w:rPr>
                <w:rFonts w:ascii="Calibri" w:eastAsia="Times New Roman" w:hAnsi="Calibri" w:cs="Calibri"/>
                <w:color w:val="000000"/>
                <w:sz w:val="22"/>
                <w:szCs w:val="22"/>
                <w:u w:val="single"/>
                <w:lang w:eastAsia="en-GB"/>
              </w:rPr>
              <w:t>1020886</w:t>
            </w:r>
          </w:p>
        </w:tc>
        <w:tc>
          <w:tcPr>
            <w:tcW w:w="502" w:type="pct"/>
            <w:tcBorders>
              <w:top w:val="nil"/>
              <w:left w:val="nil"/>
              <w:bottom w:val="single" w:sz="8" w:space="0" w:color="auto"/>
              <w:right w:val="nil"/>
            </w:tcBorders>
            <w:shd w:val="clear" w:color="auto" w:fill="auto"/>
            <w:noWrap/>
            <w:vAlign w:val="bottom"/>
            <w:hideMark/>
          </w:tcPr>
          <w:p w14:paraId="7A9DC055" w14:textId="77777777" w:rsidR="007746EA" w:rsidRPr="007746EA" w:rsidRDefault="007746EA" w:rsidP="007746EA">
            <w:pPr>
              <w:jc w:val="right"/>
              <w:rPr>
                <w:rFonts w:ascii="Calibri" w:eastAsia="Times New Roman" w:hAnsi="Calibri" w:cs="Calibri"/>
                <w:color w:val="000000"/>
                <w:sz w:val="22"/>
                <w:szCs w:val="22"/>
                <w:u w:val="single"/>
                <w:lang w:eastAsia="en-GB"/>
              </w:rPr>
            </w:pPr>
            <w:r w:rsidRPr="007746EA">
              <w:rPr>
                <w:rFonts w:ascii="Calibri" w:eastAsia="Times New Roman" w:hAnsi="Calibri" w:cs="Calibri"/>
                <w:color w:val="000000"/>
                <w:sz w:val="22"/>
                <w:szCs w:val="22"/>
                <w:u w:val="single"/>
                <w:lang w:eastAsia="en-GB"/>
              </w:rPr>
              <w:t>1016544</w:t>
            </w:r>
          </w:p>
        </w:tc>
        <w:tc>
          <w:tcPr>
            <w:tcW w:w="502" w:type="pct"/>
            <w:tcBorders>
              <w:top w:val="nil"/>
              <w:left w:val="nil"/>
              <w:bottom w:val="single" w:sz="8" w:space="0" w:color="auto"/>
              <w:right w:val="nil"/>
            </w:tcBorders>
            <w:shd w:val="clear" w:color="auto" w:fill="auto"/>
            <w:noWrap/>
            <w:vAlign w:val="bottom"/>
            <w:hideMark/>
          </w:tcPr>
          <w:p w14:paraId="10E86914" w14:textId="77777777" w:rsidR="007746EA" w:rsidRPr="007746EA" w:rsidRDefault="007746EA" w:rsidP="007746EA">
            <w:pPr>
              <w:jc w:val="right"/>
              <w:rPr>
                <w:rFonts w:ascii="Calibri" w:eastAsia="Times New Roman" w:hAnsi="Calibri" w:cs="Calibri"/>
                <w:color w:val="000000"/>
                <w:sz w:val="22"/>
                <w:szCs w:val="22"/>
                <w:u w:val="single"/>
                <w:lang w:eastAsia="en-GB"/>
              </w:rPr>
            </w:pPr>
            <w:r w:rsidRPr="007746EA">
              <w:rPr>
                <w:rFonts w:ascii="Calibri" w:eastAsia="Times New Roman" w:hAnsi="Calibri" w:cs="Calibri"/>
                <w:color w:val="000000"/>
                <w:sz w:val="22"/>
                <w:szCs w:val="22"/>
                <w:u w:val="single"/>
                <w:lang w:eastAsia="en-GB"/>
              </w:rPr>
              <w:t>1012726</w:t>
            </w:r>
          </w:p>
        </w:tc>
        <w:tc>
          <w:tcPr>
            <w:tcW w:w="502" w:type="pct"/>
            <w:tcBorders>
              <w:top w:val="nil"/>
              <w:left w:val="nil"/>
              <w:bottom w:val="single" w:sz="8" w:space="0" w:color="auto"/>
              <w:right w:val="nil"/>
            </w:tcBorders>
            <w:shd w:val="clear" w:color="auto" w:fill="auto"/>
            <w:noWrap/>
            <w:vAlign w:val="bottom"/>
            <w:hideMark/>
          </w:tcPr>
          <w:p w14:paraId="3F13E2D5" w14:textId="77777777" w:rsidR="007746EA" w:rsidRPr="007746EA" w:rsidRDefault="007746EA" w:rsidP="007746EA">
            <w:pPr>
              <w:jc w:val="right"/>
              <w:rPr>
                <w:rFonts w:ascii="Calibri" w:eastAsia="Times New Roman" w:hAnsi="Calibri" w:cs="Calibri"/>
                <w:color w:val="000000"/>
                <w:sz w:val="22"/>
                <w:szCs w:val="22"/>
                <w:u w:val="single"/>
                <w:lang w:eastAsia="en-GB"/>
              </w:rPr>
            </w:pPr>
            <w:r w:rsidRPr="007746EA">
              <w:rPr>
                <w:rFonts w:ascii="Calibri" w:eastAsia="Times New Roman" w:hAnsi="Calibri" w:cs="Calibri"/>
                <w:color w:val="000000"/>
                <w:sz w:val="22"/>
                <w:szCs w:val="22"/>
                <w:u w:val="single"/>
                <w:lang w:eastAsia="en-GB"/>
              </w:rPr>
              <w:t>1008710</w:t>
            </w:r>
          </w:p>
        </w:tc>
        <w:tc>
          <w:tcPr>
            <w:tcW w:w="502" w:type="pct"/>
            <w:tcBorders>
              <w:top w:val="nil"/>
              <w:left w:val="nil"/>
              <w:bottom w:val="single" w:sz="8" w:space="0" w:color="auto"/>
              <w:right w:val="nil"/>
            </w:tcBorders>
            <w:shd w:val="clear" w:color="auto" w:fill="auto"/>
            <w:noWrap/>
            <w:vAlign w:val="bottom"/>
            <w:hideMark/>
          </w:tcPr>
          <w:p w14:paraId="78F1D28D" w14:textId="77777777" w:rsidR="007746EA" w:rsidRPr="007746EA" w:rsidRDefault="007746EA" w:rsidP="007746EA">
            <w:pPr>
              <w:jc w:val="right"/>
              <w:rPr>
                <w:rFonts w:ascii="Calibri" w:eastAsia="Times New Roman" w:hAnsi="Calibri" w:cs="Calibri"/>
                <w:color w:val="000000"/>
                <w:sz w:val="22"/>
                <w:szCs w:val="22"/>
                <w:u w:val="single"/>
                <w:lang w:eastAsia="en-GB"/>
              </w:rPr>
            </w:pPr>
            <w:r w:rsidRPr="007746EA">
              <w:rPr>
                <w:rFonts w:ascii="Calibri" w:eastAsia="Times New Roman" w:hAnsi="Calibri" w:cs="Calibri"/>
                <w:color w:val="000000"/>
                <w:sz w:val="22"/>
                <w:szCs w:val="22"/>
                <w:u w:val="single"/>
                <w:lang w:eastAsia="en-GB"/>
              </w:rPr>
              <w:t>1006593</w:t>
            </w:r>
          </w:p>
        </w:tc>
        <w:tc>
          <w:tcPr>
            <w:tcW w:w="502" w:type="pct"/>
            <w:tcBorders>
              <w:top w:val="nil"/>
              <w:left w:val="nil"/>
              <w:bottom w:val="single" w:sz="8" w:space="0" w:color="auto"/>
              <w:right w:val="nil"/>
            </w:tcBorders>
            <w:shd w:val="clear" w:color="auto" w:fill="auto"/>
            <w:noWrap/>
            <w:vAlign w:val="bottom"/>
            <w:hideMark/>
          </w:tcPr>
          <w:p w14:paraId="70276EDE" w14:textId="77777777" w:rsidR="007746EA" w:rsidRPr="007746EA" w:rsidRDefault="007746EA" w:rsidP="007746EA">
            <w:pPr>
              <w:jc w:val="right"/>
              <w:rPr>
                <w:rFonts w:ascii="Calibri" w:eastAsia="Times New Roman" w:hAnsi="Calibri" w:cs="Calibri"/>
                <w:color w:val="000000"/>
                <w:sz w:val="22"/>
                <w:szCs w:val="22"/>
                <w:u w:val="single"/>
                <w:lang w:eastAsia="en-GB"/>
              </w:rPr>
            </w:pPr>
            <w:r w:rsidRPr="007746EA">
              <w:rPr>
                <w:rFonts w:ascii="Calibri" w:eastAsia="Times New Roman" w:hAnsi="Calibri" w:cs="Calibri"/>
                <w:color w:val="000000"/>
                <w:sz w:val="22"/>
                <w:szCs w:val="22"/>
                <w:u w:val="single"/>
                <w:lang w:eastAsia="en-GB"/>
              </w:rPr>
              <w:t>1004988</w:t>
            </w:r>
          </w:p>
        </w:tc>
        <w:tc>
          <w:tcPr>
            <w:tcW w:w="502" w:type="pct"/>
            <w:tcBorders>
              <w:top w:val="nil"/>
              <w:left w:val="nil"/>
              <w:bottom w:val="single" w:sz="8" w:space="0" w:color="auto"/>
              <w:right w:val="nil"/>
            </w:tcBorders>
            <w:shd w:val="clear" w:color="auto" w:fill="auto"/>
            <w:noWrap/>
            <w:vAlign w:val="bottom"/>
            <w:hideMark/>
          </w:tcPr>
          <w:p w14:paraId="33D54066" w14:textId="77777777" w:rsidR="007746EA" w:rsidRPr="007746EA" w:rsidRDefault="007746EA" w:rsidP="007746EA">
            <w:pPr>
              <w:jc w:val="right"/>
              <w:rPr>
                <w:rFonts w:ascii="Calibri" w:eastAsia="Times New Roman" w:hAnsi="Calibri" w:cs="Calibri"/>
                <w:color w:val="000000"/>
                <w:sz w:val="22"/>
                <w:szCs w:val="22"/>
                <w:u w:val="single"/>
                <w:lang w:eastAsia="en-GB"/>
              </w:rPr>
            </w:pPr>
            <w:r w:rsidRPr="007746EA">
              <w:rPr>
                <w:rFonts w:ascii="Calibri" w:eastAsia="Times New Roman" w:hAnsi="Calibri" w:cs="Calibri"/>
                <w:color w:val="000000"/>
                <w:sz w:val="22"/>
                <w:szCs w:val="22"/>
                <w:u w:val="single"/>
                <w:lang w:eastAsia="en-GB"/>
              </w:rPr>
              <w:t>1046743</w:t>
            </w:r>
          </w:p>
        </w:tc>
        <w:tc>
          <w:tcPr>
            <w:tcW w:w="502" w:type="pct"/>
            <w:tcBorders>
              <w:top w:val="nil"/>
              <w:left w:val="nil"/>
              <w:bottom w:val="single" w:sz="8" w:space="0" w:color="auto"/>
              <w:right w:val="nil"/>
            </w:tcBorders>
            <w:shd w:val="clear" w:color="auto" w:fill="auto"/>
            <w:noWrap/>
            <w:vAlign w:val="bottom"/>
            <w:hideMark/>
          </w:tcPr>
          <w:p w14:paraId="17144560" w14:textId="77777777" w:rsidR="007746EA" w:rsidRPr="007746EA" w:rsidRDefault="007746EA" w:rsidP="007746EA">
            <w:pPr>
              <w:jc w:val="right"/>
              <w:rPr>
                <w:rFonts w:ascii="Calibri" w:eastAsia="Times New Roman" w:hAnsi="Calibri" w:cs="Calibri"/>
                <w:color w:val="000000"/>
                <w:sz w:val="22"/>
                <w:szCs w:val="22"/>
                <w:u w:val="single"/>
                <w:lang w:eastAsia="en-GB"/>
              </w:rPr>
            </w:pPr>
            <w:r w:rsidRPr="007746EA">
              <w:rPr>
                <w:rFonts w:ascii="Calibri" w:eastAsia="Times New Roman" w:hAnsi="Calibri" w:cs="Calibri"/>
                <w:color w:val="000000"/>
                <w:sz w:val="22"/>
                <w:szCs w:val="22"/>
                <w:u w:val="single"/>
                <w:lang w:eastAsia="en-GB"/>
              </w:rPr>
              <w:t>1099641</w:t>
            </w:r>
          </w:p>
        </w:tc>
        <w:tc>
          <w:tcPr>
            <w:tcW w:w="502" w:type="pct"/>
            <w:tcBorders>
              <w:top w:val="nil"/>
              <w:left w:val="nil"/>
              <w:bottom w:val="single" w:sz="8" w:space="0" w:color="auto"/>
              <w:right w:val="single" w:sz="8" w:space="0" w:color="auto"/>
            </w:tcBorders>
            <w:shd w:val="clear" w:color="auto" w:fill="auto"/>
            <w:noWrap/>
            <w:vAlign w:val="bottom"/>
            <w:hideMark/>
          </w:tcPr>
          <w:p w14:paraId="7FB62FD0" w14:textId="77777777" w:rsidR="007746EA" w:rsidRPr="007746EA" w:rsidRDefault="007746EA" w:rsidP="007746EA">
            <w:pPr>
              <w:jc w:val="right"/>
              <w:rPr>
                <w:rFonts w:ascii="Calibri" w:eastAsia="Times New Roman" w:hAnsi="Calibri" w:cs="Calibri"/>
                <w:color w:val="000000"/>
                <w:sz w:val="22"/>
                <w:szCs w:val="22"/>
                <w:u w:val="single"/>
                <w:lang w:eastAsia="en-GB"/>
              </w:rPr>
            </w:pPr>
            <w:r w:rsidRPr="007746EA">
              <w:rPr>
                <w:rFonts w:ascii="Calibri" w:eastAsia="Times New Roman" w:hAnsi="Calibri" w:cs="Calibri"/>
                <w:color w:val="000000"/>
                <w:sz w:val="22"/>
                <w:szCs w:val="22"/>
                <w:u w:val="single"/>
                <w:lang w:eastAsia="en-GB"/>
              </w:rPr>
              <w:t>1135425</w:t>
            </w:r>
          </w:p>
        </w:tc>
      </w:tr>
      <w:tr w:rsidR="007746EA" w:rsidRPr="007746EA" w14:paraId="3F5A9724" w14:textId="77777777" w:rsidTr="007746EA">
        <w:trPr>
          <w:trHeight w:val="361"/>
        </w:trPr>
        <w:tc>
          <w:tcPr>
            <w:tcW w:w="5000" w:type="pct"/>
            <w:gridSpan w:val="10"/>
            <w:tcBorders>
              <w:top w:val="single" w:sz="8" w:space="0" w:color="auto"/>
              <w:left w:val="single" w:sz="8" w:space="0" w:color="auto"/>
              <w:bottom w:val="single" w:sz="8" w:space="0" w:color="auto"/>
              <w:right w:val="single" w:sz="8" w:space="0" w:color="000000"/>
            </w:tcBorders>
            <w:shd w:val="clear" w:color="auto" w:fill="auto"/>
            <w:vAlign w:val="bottom"/>
            <w:hideMark/>
          </w:tcPr>
          <w:p w14:paraId="6221A242" w14:textId="77777777" w:rsidR="007746EA" w:rsidRPr="007746EA" w:rsidRDefault="007746EA" w:rsidP="007746EA">
            <w:pPr>
              <w:jc w:val="center"/>
              <w:rPr>
                <w:rFonts w:ascii="Calibri" w:eastAsia="Times New Roman" w:hAnsi="Calibri" w:cs="Calibri"/>
                <w:i/>
                <w:iCs/>
                <w:color w:val="000000"/>
                <w:sz w:val="22"/>
                <w:szCs w:val="22"/>
                <w:lang w:val="da-DK" w:eastAsia="en-GB"/>
              </w:rPr>
            </w:pPr>
            <w:proofErr w:type="spellStart"/>
            <w:r w:rsidRPr="007746EA">
              <w:rPr>
                <w:rFonts w:ascii="Calibri" w:eastAsia="Times New Roman" w:hAnsi="Calibri" w:cs="Calibri"/>
                <w:i/>
                <w:iCs/>
                <w:color w:val="000000"/>
                <w:sz w:val="22"/>
                <w:szCs w:val="22"/>
                <w:lang w:val="da-DK" w:eastAsia="en-GB"/>
              </w:rPr>
              <w:t>Kilde:Hjarns</w:t>
            </w:r>
            <w:proofErr w:type="spellEnd"/>
            <w:r w:rsidRPr="007746EA">
              <w:rPr>
                <w:rFonts w:ascii="Calibri" w:eastAsia="Times New Roman" w:hAnsi="Calibri" w:cs="Calibri"/>
                <w:i/>
                <w:iCs/>
                <w:color w:val="000000"/>
                <w:sz w:val="22"/>
                <w:szCs w:val="22"/>
                <w:lang w:val="da-DK" w:eastAsia="en-GB"/>
              </w:rPr>
              <w:t xml:space="preserve"> Note samt egne beregninger </w:t>
            </w:r>
          </w:p>
        </w:tc>
      </w:tr>
    </w:tbl>
    <w:p w14:paraId="0A5EFEF7" w14:textId="7967FEED" w:rsidR="007746EA" w:rsidRDefault="007746EA" w:rsidP="00D3203C">
      <w:pPr>
        <w:spacing w:line="360" w:lineRule="auto"/>
        <w:rPr>
          <w:lang w:val="da-DK"/>
        </w:rPr>
      </w:pPr>
    </w:p>
    <w:p w14:paraId="25ABC8F4" w14:textId="4A49000C" w:rsidR="007746EA" w:rsidRDefault="007746EA" w:rsidP="00D3203C">
      <w:pPr>
        <w:spacing w:line="360" w:lineRule="auto"/>
        <w:rPr>
          <w:lang w:val="da-DK"/>
        </w:rPr>
      </w:pPr>
    </w:p>
    <w:p w14:paraId="6D93AA2B" w14:textId="45E8B221" w:rsidR="007746EA" w:rsidRDefault="007746EA" w:rsidP="00D3203C">
      <w:pPr>
        <w:spacing w:line="360" w:lineRule="auto"/>
        <w:rPr>
          <w:lang w:val="da-DK"/>
        </w:rPr>
      </w:pPr>
      <w:r>
        <w:rPr>
          <w:lang w:val="da-DK"/>
        </w:rPr>
        <w:t xml:space="preserve">Der er to generelle tendenser i perioden fra 2020-2040. Første tendens er fra 2020 til og med 2025. Her ses et mindre fald i den samlede mængde børn. Et fald fra 1020 tusinde børn til 1004 tusind børn i 2025. Fra 2025 og frem stiger den samlede mængde af børn fra 1004 tusinde til 1135 tusinde børn. I samme periode stiger de 0-5 årige fra </w:t>
      </w:r>
      <w:r w:rsidR="00D40EDA">
        <w:rPr>
          <w:lang w:val="da-DK"/>
        </w:rPr>
        <w:t xml:space="preserve">381 tusinde til 422 tusinde småbørn. Mens de ældre børn stiger fra 623 tusinde til 719 tusinde i samme periode. </w:t>
      </w:r>
    </w:p>
    <w:p w14:paraId="0B0666B2" w14:textId="0F9E71D1" w:rsidR="00D40EDA" w:rsidRDefault="00D40EDA" w:rsidP="00D3203C">
      <w:pPr>
        <w:spacing w:line="360" w:lineRule="auto"/>
        <w:rPr>
          <w:lang w:val="da-DK"/>
        </w:rPr>
      </w:pPr>
    </w:p>
    <w:p w14:paraId="4C81066A" w14:textId="2C34F93C" w:rsidR="00D40EDA" w:rsidRDefault="00D40EDA" w:rsidP="00D3203C">
      <w:pPr>
        <w:spacing w:line="360" w:lineRule="auto"/>
        <w:rPr>
          <w:lang w:val="da-DK"/>
        </w:rPr>
      </w:pPr>
      <w:r>
        <w:rPr>
          <w:lang w:val="da-DK"/>
        </w:rPr>
        <w:t xml:space="preserve">Stigningen der begynder i 2025 kan tilskrives demografiske forhold. Tidligere udledtes en vækst i børn fra 1990 til og med 2005. De børn, der blev født i 90’serne begynder omkring nu at komme ind i den alder, hvor folk i de senere år er begyndt at føde børn. </w:t>
      </w:r>
      <w:r>
        <w:rPr>
          <w:b/>
          <w:bCs/>
          <w:lang w:val="da-DK"/>
        </w:rPr>
        <w:t>STO  s. 21.</w:t>
      </w:r>
      <w:r>
        <w:rPr>
          <w:lang w:val="da-DK"/>
        </w:rPr>
        <w:t xml:space="preserve"> Her kan det ses, at kvinder i alderen 25-29 får færre børn, mens kvinder i alderen 30-35 ligger på ca. samme niveau som tidligere. Dette hænger sammen med længere uddannelser og en større tilknytning på arbejdsmarkedet, som også tidligere forklaret. </w:t>
      </w:r>
    </w:p>
    <w:p w14:paraId="26EB9722" w14:textId="3711C7B9" w:rsidR="00D40EDA" w:rsidRDefault="00D40EDA" w:rsidP="00D3203C">
      <w:pPr>
        <w:spacing w:line="360" w:lineRule="auto"/>
        <w:rPr>
          <w:lang w:val="da-DK"/>
        </w:rPr>
      </w:pPr>
    </w:p>
    <w:p w14:paraId="48EB55A4" w14:textId="4B8591B6" w:rsidR="00D40EDA" w:rsidRDefault="00D40EDA" w:rsidP="00D40EDA">
      <w:pPr>
        <w:spacing w:line="360" w:lineRule="auto"/>
        <w:rPr>
          <w:lang w:val="da-DK"/>
        </w:rPr>
      </w:pPr>
      <w:r>
        <w:rPr>
          <w:lang w:val="da-DK"/>
        </w:rPr>
        <w:t>Yderligere incitament til at få børn har staten også skabt gennem i</w:t>
      </w:r>
      <w:r w:rsidRPr="00D40EDA">
        <w:rPr>
          <w:lang w:val="da-DK"/>
        </w:rPr>
        <w:t>nstitution</w:t>
      </w:r>
      <w:r>
        <w:rPr>
          <w:lang w:val="da-DK"/>
        </w:rPr>
        <w:t xml:space="preserve">elle forklaringer. Her kan oprettelsen af børnechecken helt tilbage i </w:t>
      </w:r>
      <w:r w:rsidR="009A59E0">
        <w:rPr>
          <w:lang w:val="da-DK"/>
        </w:rPr>
        <w:t>1987 give økonomisk incitament til at få børn, samt også aflaste nogen af de større udgifter ved at have børn og forsørge dem. (</w:t>
      </w:r>
      <w:r w:rsidR="009A59E0">
        <w:rPr>
          <w:b/>
          <w:bCs/>
          <w:lang w:val="da-DK"/>
        </w:rPr>
        <w:t>BOS s. 50)</w:t>
      </w:r>
      <w:r w:rsidR="009A59E0">
        <w:rPr>
          <w:lang w:val="da-DK"/>
        </w:rPr>
        <w:t xml:space="preserve">. </w:t>
      </w:r>
    </w:p>
    <w:p w14:paraId="0008EBD5" w14:textId="5DB36322" w:rsidR="00517479" w:rsidRDefault="009A59E0" w:rsidP="00D3203C">
      <w:pPr>
        <w:spacing w:line="360" w:lineRule="auto"/>
        <w:rPr>
          <w:lang w:val="da-DK"/>
        </w:rPr>
      </w:pPr>
      <w:r>
        <w:rPr>
          <w:lang w:val="da-DK"/>
        </w:rPr>
        <w:t xml:space="preserve">     Dog mener jeg personligt, at barselsloven, som vi mere eller mindre kender den i dag, blev indført i 2002(</w:t>
      </w:r>
      <w:r>
        <w:rPr>
          <w:b/>
          <w:bCs/>
          <w:lang w:val="da-DK"/>
        </w:rPr>
        <w:t>BOS s. 50)</w:t>
      </w:r>
      <w:r>
        <w:rPr>
          <w:lang w:val="da-DK"/>
        </w:rPr>
        <w:t xml:space="preserve">. Her skal det nævnes, at tidligere stod kvinden ”alene” gennem barslen, og mændene havde en mindre involvering. Men ved at give 32 uger, som kan fordeles mellem manden og kvinden sikrer det, at hverken manden eller kvinden kommer for langt væk fra deres job, og sætter dem ikke bagud ift. de ikke barselstagende. Dette har blandt andet givet kvinder </w:t>
      </w:r>
      <w:r w:rsidR="00C04FA8">
        <w:rPr>
          <w:lang w:val="da-DK"/>
        </w:rPr>
        <w:t xml:space="preserve">blod på tanden for at opnå højere stillinger og generelt </w:t>
      </w:r>
      <w:r w:rsidR="00C04FA8">
        <w:rPr>
          <w:lang w:val="da-DK"/>
        </w:rPr>
        <w:lastRenderedPageBreak/>
        <w:t xml:space="preserve">mere ligestilling gennem de senere år jf. ligestillingsdebatten. Altså er barselslovgivningen også en faktor i, hvorfor mænd og kvinder i fremtidens Danmark vil få børn. </w:t>
      </w:r>
    </w:p>
    <w:p w14:paraId="45EF09EF" w14:textId="7E5CF5F4" w:rsidR="00C04FA8" w:rsidRDefault="00C04FA8" w:rsidP="00D3203C">
      <w:pPr>
        <w:spacing w:line="360" w:lineRule="auto"/>
        <w:rPr>
          <w:lang w:val="da-DK"/>
        </w:rPr>
      </w:pPr>
    </w:p>
    <w:p w14:paraId="4F549391" w14:textId="2A82673E" w:rsidR="00C04FA8" w:rsidRDefault="00C04FA8" w:rsidP="00D3203C">
      <w:pPr>
        <w:spacing w:line="360" w:lineRule="auto"/>
        <w:rPr>
          <w:lang w:val="da-DK"/>
        </w:rPr>
      </w:pPr>
      <w:r>
        <w:rPr>
          <w:lang w:val="da-DK"/>
        </w:rPr>
        <w:t xml:space="preserve">Helt til sidst skal det også siges. Lige meget hvor mange faktorer, der spiller ind, så er det parrets beslutning, om de vil have et barn eller ej. Men disse forklaringer styrker forældrenes vilje til at få børn. </w:t>
      </w:r>
    </w:p>
    <w:p w14:paraId="67BF8745" w14:textId="39B5426D" w:rsidR="00E97318" w:rsidRDefault="00E97318" w:rsidP="00D3203C">
      <w:pPr>
        <w:spacing w:line="360" w:lineRule="auto"/>
        <w:rPr>
          <w:lang w:val="da-DK"/>
        </w:rPr>
      </w:pPr>
    </w:p>
    <w:p w14:paraId="79C219B3" w14:textId="5D1A810E" w:rsidR="00E97318" w:rsidRDefault="00E97318" w:rsidP="00D3203C">
      <w:pPr>
        <w:spacing w:line="360" w:lineRule="auto"/>
        <w:rPr>
          <w:lang w:val="da-DK"/>
        </w:rPr>
      </w:pPr>
      <w:r>
        <w:rPr>
          <w:lang w:val="da-DK"/>
        </w:rPr>
        <w:t xml:space="preserve">Bilag: </w:t>
      </w:r>
    </w:p>
    <w:p w14:paraId="5CD5DA57" w14:textId="2C0FFB9A" w:rsidR="00E97318" w:rsidRDefault="00E97318" w:rsidP="00D3203C">
      <w:pPr>
        <w:spacing w:line="360" w:lineRule="auto"/>
        <w:rPr>
          <w:lang w:val="da-DK"/>
        </w:rPr>
      </w:pPr>
      <w:r>
        <w:rPr>
          <w:noProof/>
          <w:lang w:val="da-DK"/>
        </w:rPr>
        <w:drawing>
          <wp:inline distT="0" distB="0" distL="0" distR="0" wp14:anchorId="7791FF69" wp14:editId="239BD390">
            <wp:extent cx="5676900" cy="5016500"/>
            <wp:effectExtent l="0" t="0" r="0"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76900" cy="5016500"/>
                    </a:xfrm>
                    <a:prstGeom prst="rect">
                      <a:avLst/>
                    </a:prstGeom>
                  </pic:spPr>
                </pic:pic>
              </a:graphicData>
            </a:graphic>
          </wp:inline>
        </w:drawing>
      </w:r>
    </w:p>
    <w:p w14:paraId="7C3416F0" w14:textId="4F15EEE2" w:rsidR="00E97318" w:rsidRDefault="00E97318" w:rsidP="00D3203C">
      <w:pPr>
        <w:spacing w:line="360" w:lineRule="auto"/>
        <w:rPr>
          <w:lang w:val="da-DK"/>
        </w:rPr>
      </w:pPr>
    </w:p>
    <w:p w14:paraId="177A3E47" w14:textId="47B3EC08" w:rsidR="00E97318" w:rsidRDefault="00E97318" w:rsidP="00D3203C">
      <w:pPr>
        <w:spacing w:line="360" w:lineRule="auto"/>
        <w:rPr>
          <w:lang w:val="da-DK"/>
        </w:rPr>
      </w:pPr>
    </w:p>
    <w:p w14:paraId="5C72B842" w14:textId="67272DE4" w:rsidR="00E97318" w:rsidRPr="001E6A77" w:rsidRDefault="00E97318" w:rsidP="00D3203C">
      <w:pPr>
        <w:spacing w:line="360" w:lineRule="auto"/>
        <w:rPr>
          <w:lang w:val="da-DK"/>
        </w:rPr>
      </w:pPr>
      <w:r>
        <w:rPr>
          <w:noProof/>
          <w:lang w:val="da-DK"/>
        </w:rPr>
        <w:lastRenderedPageBreak/>
        <w:drawing>
          <wp:inline distT="0" distB="0" distL="0" distR="0" wp14:anchorId="651872B8" wp14:editId="43BD64AD">
            <wp:extent cx="5731510" cy="1971675"/>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971675"/>
                    </a:xfrm>
                    <a:prstGeom prst="rect">
                      <a:avLst/>
                    </a:prstGeom>
                  </pic:spPr>
                </pic:pic>
              </a:graphicData>
            </a:graphic>
          </wp:inline>
        </w:drawing>
      </w:r>
    </w:p>
    <w:sectPr w:rsidR="00E97318" w:rsidRPr="001E6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77"/>
    <w:rsid w:val="001E6A77"/>
    <w:rsid w:val="002C18C2"/>
    <w:rsid w:val="00517479"/>
    <w:rsid w:val="007746EA"/>
    <w:rsid w:val="007D0CAC"/>
    <w:rsid w:val="009A59E0"/>
    <w:rsid w:val="00C04FA8"/>
    <w:rsid w:val="00D3203C"/>
    <w:rsid w:val="00D40EDA"/>
    <w:rsid w:val="00E97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EED0"/>
  <w15:chartTrackingRefBased/>
  <w15:docId w15:val="{62785B89-A1E3-4F41-9E56-D536C2DE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457835">
      <w:bodyDiv w:val="1"/>
      <w:marLeft w:val="0"/>
      <w:marRight w:val="0"/>
      <w:marTop w:val="0"/>
      <w:marBottom w:val="0"/>
      <w:divBdr>
        <w:top w:val="none" w:sz="0" w:space="0" w:color="auto"/>
        <w:left w:val="none" w:sz="0" w:space="0" w:color="auto"/>
        <w:bottom w:val="none" w:sz="0" w:space="0" w:color="auto"/>
        <w:right w:val="none" w:sz="0" w:space="0" w:color="auto"/>
      </w:divBdr>
    </w:div>
    <w:div w:id="1836216314">
      <w:bodyDiv w:val="1"/>
      <w:marLeft w:val="0"/>
      <w:marRight w:val="0"/>
      <w:marTop w:val="0"/>
      <w:marBottom w:val="0"/>
      <w:divBdr>
        <w:top w:val="none" w:sz="0" w:space="0" w:color="auto"/>
        <w:left w:val="none" w:sz="0" w:space="0" w:color="auto"/>
        <w:bottom w:val="none" w:sz="0" w:space="0" w:color="auto"/>
        <w:right w:val="none" w:sz="0" w:space="0" w:color="auto"/>
      </w:divBdr>
    </w:div>
    <w:div w:id="200588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apee/Downloads/019.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apee/Downloads/019.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 1.1.</a:t>
            </a:r>
            <a:r>
              <a:rPr lang="en-GB" baseline="0"/>
              <a:t> Forsøgerbyrden</a:t>
            </a:r>
            <a:endParaRPr lang="en-GB"/>
          </a:p>
        </c:rich>
      </c:tx>
      <c:layout>
        <c:manualLayout>
          <c:xMode val="edge"/>
          <c:yMode val="edge"/>
          <c:x val="0.3592223144343461"/>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67609254498714"/>
          <c:y val="0.17168999708369787"/>
          <c:w val="0.81899742930591246"/>
          <c:h val="0.6058089093030038"/>
        </c:manualLayout>
      </c:layout>
      <c:lineChart>
        <c:grouping val="standard"/>
        <c:varyColors val="0"/>
        <c:ser>
          <c:idx val="0"/>
          <c:order val="0"/>
          <c:tx>
            <c:strRef>
              <c:f>'Ark1'!$A$105</c:f>
              <c:strCache>
                <c:ptCount val="1"/>
                <c:pt idx="0">
                  <c:v>Forsøgerbyrden</c:v>
                </c:pt>
              </c:strCache>
            </c:strRef>
          </c:tx>
          <c:spPr>
            <a:ln w="28575" cap="rnd">
              <a:solidFill>
                <a:schemeClr val="accent1"/>
              </a:solidFill>
              <a:round/>
            </a:ln>
            <a:effectLst/>
          </c:spPr>
          <c:marker>
            <c:symbol val="none"/>
          </c:marker>
          <c:cat>
            <c:numRef>
              <c:f>'Ark1'!$B$1:$L$1</c:f>
              <c:numCache>
                <c:formatCode>General</c:formatCode>
                <c:ptCount val="11"/>
                <c:pt idx="0">
                  <c:v>1975</c:v>
                </c:pt>
                <c:pt idx="1">
                  <c:v>1980</c:v>
                </c:pt>
                <c:pt idx="2">
                  <c:v>1985</c:v>
                </c:pt>
                <c:pt idx="3">
                  <c:v>1990</c:v>
                </c:pt>
                <c:pt idx="4">
                  <c:v>1995</c:v>
                </c:pt>
                <c:pt idx="5">
                  <c:v>2000</c:v>
                </c:pt>
                <c:pt idx="6">
                  <c:v>2005</c:v>
                </c:pt>
                <c:pt idx="7">
                  <c:v>2010</c:v>
                </c:pt>
                <c:pt idx="8">
                  <c:v>2015</c:v>
                </c:pt>
                <c:pt idx="9">
                  <c:v>2019</c:v>
                </c:pt>
                <c:pt idx="10">
                  <c:v>2020</c:v>
                </c:pt>
              </c:numCache>
            </c:numRef>
          </c:cat>
          <c:val>
            <c:numRef>
              <c:f>'Ark1'!$B$105:$L$105</c:f>
              <c:numCache>
                <c:formatCode>General</c:formatCode>
                <c:ptCount val="11"/>
                <c:pt idx="0">
                  <c:v>0.56085433012386698</c:v>
                </c:pt>
                <c:pt idx="1">
                  <c:v>0.54937222787037832</c:v>
                </c:pt>
                <c:pt idx="2">
                  <c:v>0.50577417282127679</c:v>
                </c:pt>
                <c:pt idx="3">
                  <c:v>0.48659952461551959</c:v>
                </c:pt>
                <c:pt idx="4">
                  <c:v>0.48336260307808693</c:v>
                </c:pt>
                <c:pt idx="5">
                  <c:v>0.49784036397665288</c:v>
                </c:pt>
                <c:pt idx="6">
                  <c:v>0.511246507720716</c:v>
                </c:pt>
                <c:pt idx="7">
                  <c:v>0.52448560979969761</c:v>
                </c:pt>
                <c:pt idx="8">
                  <c:v>0.55233398035458081</c:v>
                </c:pt>
                <c:pt idx="9">
                  <c:v>0.56390732187166337</c:v>
                </c:pt>
                <c:pt idx="10">
                  <c:v>0.56793363086598803</c:v>
                </c:pt>
              </c:numCache>
            </c:numRef>
          </c:val>
          <c:smooth val="0"/>
          <c:extLst>
            <c:ext xmlns:c16="http://schemas.microsoft.com/office/drawing/2014/chart" uri="{C3380CC4-5D6E-409C-BE32-E72D297353CC}">
              <c16:uniqueId val="{00000000-3716-604C-AAF0-99E19BAE5E30}"/>
            </c:ext>
          </c:extLst>
        </c:ser>
        <c:ser>
          <c:idx val="1"/>
          <c:order val="1"/>
          <c:tx>
            <c:strRef>
              <c:f>'Ark1'!$A$106</c:f>
              <c:strCache>
                <c:ptCount val="1"/>
                <c:pt idx="0">
                  <c:v>Ungebyrde (0-14)</c:v>
                </c:pt>
              </c:strCache>
            </c:strRef>
          </c:tx>
          <c:spPr>
            <a:ln w="28575" cap="rnd">
              <a:solidFill>
                <a:schemeClr val="accent3"/>
              </a:solidFill>
              <a:round/>
            </a:ln>
            <a:effectLst/>
          </c:spPr>
          <c:marker>
            <c:symbol val="none"/>
          </c:marker>
          <c:val>
            <c:numRef>
              <c:f>'Ark1'!$B$106:$L$106</c:f>
              <c:numCache>
                <c:formatCode>General</c:formatCode>
                <c:ptCount val="11"/>
                <c:pt idx="0">
                  <c:v>0.35379140413923271</c:v>
                </c:pt>
                <c:pt idx="1">
                  <c:v>0.32712180688025067</c:v>
                </c:pt>
                <c:pt idx="2">
                  <c:v>0.28008840601955198</c:v>
                </c:pt>
                <c:pt idx="3">
                  <c:v>0.25490386794836944</c:v>
                </c:pt>
                <c:pt idx="4">
                  <c:v>0.25622265293382385</c:v>
                </c:pt>
                <c:pt idx="5">
                  <c:v>0.27572186923031528</c:v>
                </c:pt>
                <c:pt idx="6">
                  <c:v>0.28433827940245021</c:v>
                </c:pt>
                <c:pt idx="7">
                  <c:v>0.27580255503212864</c:v>
                </c:pt>
                <c:pt idx="8">
                  <c:v>0.26403266757891453</c:v>
                </c:pt>
                <c:pt idx="9">
                  <c:v>0.25790104262625024</c:v>
                </c:pt>
                <c:pt idx="10">
                  <c:v>0.25665234294848149</c:v>
                </c:pt>
              </c:numCache>
            </c:numRef>
          </c:val>
          <c:smooth val="0"/>
          <c:extLst>
            <c:ext xmlns:c16="http://schemas.microsoft.com/office/drawing/2014/chart" uri="{C3380CC4-5D6E-409C-BE32-E72D297353CC}">
              <c16:uniqueId val="{00000001-3716-604C-AAF0-99E19BAE5E30}"/>
            </c:ext>
          </c:extLst>
        </c:ser>
        <c:ser>
          <c:idx val="2"/>
          <c:order val="2"/>
          <c:tx>
            <c:strRef>
              <c:f>'Ark1'!$A$104</c:f>
              <c:strCache>
                <c:ptCount val="1"/>
                <c:pt idx="0">
                  <c:v>Ældrebyrde (65+)</c:v>
                </c:pt>
              </c:strCache>
            </c:strRef>
          </c:tx>
          <c:spPr>
            <a:ln w="28575" cap="rnd">
              <a:solidFill>
                <a:schemeClr val="accent5"/>
              </a:solidFill>
              <a:round/>
            </a:ln>
            <a:effectLst/>
          </c:spPr>
          <c:marker>
            <c:symbol val="none"/>
          </c:marker>
          <c:val>
            <c:numRef>
              <c:f>'Ark1'!$B$104:$L$104</c:f>
              <c:numCache>
                <c:formatCode>General</c:formatCode>
                <c:ptCount val="11"/>
                <c:pt idx="0">
                  <c:v>0.20706292598463422</c:v>
                </c:pt>
                <c:pt idx="1">
                  <c:v>0.22225042099012765</c:v>
                </c:pt>
                <c:pt idx="2">
                  <c:v>0.22568576680172486</c:v>
                </c:pt>
                <c:pt idx="3">
                  <c:v>0.23169565666715009</c:v>
                </c:pt>
                <c:pt idx="4">
                  <c:v>0.22713995014426311</c:v>
                </c:pt>
                <c:pt idx="5">
                  <c:v>0.2221184947463376</c:v>
                </c:pt>
                <c:pt idx="6">
                  <c:v>0.22690822831826576</c:v>
                </c:pt>
                <c:pt idx="7">
                  <c:v>0.24868305476756897</c:v>
                </c:pt>
                <c:pt idx="8">
                  <c:v>0.28830131277566629</c:v>
                </c:pt>
                <c:pt idx="9">
                  <c:v>0.30600627924541313</c:v>
                </c:pt>
                <c:pt idx="10">
                  <c:v>0.31128128791750659</c:v>
                </c:pt>
              </c:numCache>
            </c:numRef>
          </c:val>
          <c:smooth val="0"/>
          <c:extLst>
            <c:ext xmlns:c16="http://schemas.microsoft.com/office/drawing/2014/chart" uri="{C3380CC4-5D6E-409C-BE32-E72D297353CC}">
              <c16:uniqueId val="{00000002-3716-604C-AAF0-99E19BAE5E30}"/>
            </c:ext>
          </c:extLst>
        </c:ser>
        <c:dLbls>
          <c:showLegendKey val="0"/>
          <c:showVal val="0"/>
          <c:showCatName val="0"/>
          <c:showSerName val="0"/>
          <c:showPercent val="0"/>
          <c:showBubbleSize val="0"/>
        </c:dLbls>
        <c:smooth val="0"/>
        <c:axId val="1118112384"/>
        <c:axId val="1118111184"/>
      </c:lineChart>
      <c:catAx>
        <c:axId val="1118112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8111184"/>
        <c:crosses val="autoZero"/>
        <c:auto val="1"/>
        <c:lblAlgn val="ctr"/>
        <c:lblOffset val="100"/>
        <c:noMultiLvlLbl val="0"/>
      </c:catAx>
      <c:valAx>
        <c:axId val="111811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8112384"/>
        <c:crosses val="autoZero"/>
        <c:crossBetween val="between"/>
      </c:valAx>
      <c:spPr>
        <a:noFill/>
        <a:ln>
          <a:noFill/>
        </a:ln>
        <a:effectLst/>
      </c:spPr>
    </c:plotArea>
    <c:legend>
      <c:legendPos val="b"/>
      <c:layout>
        <c:manualLayout>
          <c:xMode val="edge"/>
          <c:yMode val="edge"/>
          <c:x val="0.11411493229156124"/>
          <c:y val="0.68115631379410913"/>
          <c:w val="0.79553367204420777"/>
          <c:h val="7.810294546515018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 3.1: Udvikling</a:t>
            </a:r>
            <a:r>
              <a:rPr lang="en-GB" baseline="0"/>
              <a:t> i unge mennesker 2020-2040</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'Ark1'!$A$139</c:f>
              <c:strCache>
                <c:ptCount val="1"/>
                <c:pt idx="0">
                  <c:v>0 - 5 år</c:v>
                </c:pt>
              </c:strCache>
            </c:strRef>
          </c:tx>
          <c:spPr>
            <a:solidFill>
              <a:schemeClr val="accent1">
                <a:lumMod val="40000"/>
                <a:lumOff val="60000"/>
              </a:schemeClr>
            </a:solidFill>
            <a:ln>
              <a:noFill/>
            </a:ln>
            <a:effectLst/>
          </c:spPr>
          <c:invertIfNegative val="0"/>
          <c:cat>
            <c:strRef>
              <c:f>'Ark1'!$B$138:$J$138</c:f>
              <c:strCache>
                <c:ptCount val="9"/>
                <c:pt idx="0">
                  <c:v>2020</c:v>
                </c:pt>
                <c:pt idx="1">
                  <c:v>2021</c:v>
                </c:pt>
                <c:pt idx="2">
                  <c:v>2022</c:v>
                </c:pt>
                <c:pt idx="3">
                  <c:v>2023</c:v>
                </c:pt>
                <c:pt idx="4">
                  <c:v>2024</c:v>
                </c:pt>
                <c:pt idx="5">
                  <c:v>2025</c:v>
                </c:pt>
                <c:pt idx="6">
                  <c:v>2030</c:v>
                </c:pt>
                <c:pt idx="7">
                  <c:v>2035</c:v>
                </c:pt>
                <c:pt idx="8">
                  <c:v>2040</c:v>
                </c:pt>
              </c:strCache>
            </c:strRef>
          </c:cat>
          <c:val>
            <c:numRef>
              <c:f>'Ark1'!$B$139:$J$139</c:f>
              <c:numCache>
                <c:formatCode>General</c:formatCode>
                <c:ptCount val="9"/>
                <c:pt idx="0">
                  <c:v>366881</c:v>
                </c:pt>
                <c:pt idx="1">
                  <c:v>370079</c:v>
                </c:pt>
                <c:pt idx="2">
                  <c:v>373272</c:v>
                </c:pt>
                <c:pt idx="3">
                  <c:v>374340</c:v>
                </c:pt>
                <c:pt idx="4">
                  <c:v>377073</c:v>
                </c:pt>
                <c:pt idx="5">
                  <c:v>381447</c:v>
                </c:pt>
                <c:pt idx="6">
                  <c:v>420010</c:v>
                </c:pt>
                <c:pt idx="7">
                  <c:v>430742</c:v>
                </c:pt>
                <c:pt idx="8">
                  <c:v>422599</c:v>
                </c:pt>
              </c:numCache>
            </c:numRef>
          </c:val>
          <c:extLst>
            <c:ext xmlns:c16="http://schemas.microsoft.com/office/drawing/2014/chart" uri="{C3380CC4-5D6E-409C-BE32-E72D297353CC}">
              <c16:uniqueId val="{00000000-AD13-BE4E-8E22-64957362D433}"/>
            </c:ext>
          </c:extLst>
        </c:ser>
        <c:ser>
          <c:idx val="1"/>
          <c:order val="1"/>
          <c:tx>
            <c:strRef>
              <c:f>'Ark1'!$A$140</c:f>
              <c:strCache>
                <c:ptCount val="1"/>
                <c:pt idx="0">
                  <c:v>6 - 15 år</c:v>
                </c:pt>
              </c:strCache>
            </c:strRef>
          </c:tx>
          <c:spPr>
            <a:solidFill>
              <a:schemeClr val="accent6">
                <a:lumMod val="40000"/>
                <a:lumOff val="60000"/>
              </a:schemeClr>
            </a:solidFill>
            <a:ln>
              <a:noFill/>
            </a:ln>
            <a:effectLst/>
          </c:spPr>
          <c:invertIfNegative val="0"/>
          <c:cat>
            <c:strRef>
              <c:f>'Ark1'!$B$138:$J$138</c:f>
              <c:strCache>
                <c:ptCount val="9"/>
                <c:pt idx="0">
                  <c:v>2020</c:v>
                </c:pt>
                <c:pt idx="1">
                  <c:v>2021</c:v>
                </c:pt>
                <c:pt idx="2">
                  <c:v>2022</c:v>
                </c:pt>
                <c:pt idx="3">
                  <c:v>2023</c:v>
                </c:pt>
                <c:pt idx="4">
                  <c:v>2024</c:v>
                </c:pt>
                <c:pt idx="5">
                  <c:v>2025</c:v>
                </c:pt>
                <c:pt idx="6">
                  <c:v>2030</c:v>
                </c:pt>
                <c:pt idx="7">
                  <c:v>2035</c:v>
                </c:pt>
                <c:pt idx="8">
                  <c:v>2040</c:v>
                </c:pt>
              </c:strCache>
            </c:strRef>
          </c:cat>
          <c:val>
            <c:numRef>
              <c:f>'Ark1'!$B$140:$J$140</c:f>
              <c:numCache>
                <c:formatCode>General</c:formatCode>
                <c:ptCount val="9"/>
                <c:pt idx="0">
                  <c:v>654005</c:v>
                </c:pt>
                <c:pt idx="1">
                  <c:v>646465</c:v>
                </c:pt>
                <c:pt idx="2">
                  <c:v>639454</c:v>
                </c:pt>
                <c:pt idx="3">
                  <c:v>634370</c:v>
                </c:pt>
                <c:pt idx="4">
                  <c:v>629520</c:v>
                </c:pt>
                <c:pt idx="5">
                  <c:v>623541</c:v>
                </c:pt>
                <c:pt idx="6">
                  <c:v>626733</c:v>
                </c:pt>
                <c:pt idx="7">
                  <c:v>668899</c:v>
                </c:pt>
                <c:pt idx="8">
                  <c:v>712826</c:v>
                </c:pt>
              </c:numCache>
            </c:numRef>
          </c:val>
          <c:extLst>
            <c:ext xmlns:c16="http://schemas.microsoft.com/office/drawing/2014/chart" uri="{C3380CC4-5D6E-409C-BE32-E72D297353CC}">
              <c16:uniqueId val="{00000001-AD13-BE4E-8E22-64957362D433}"/>
            </c:ext>
          </c:extLst>
        </c:ser>
        <c:dLbls>
          <c:showLegendKey val="0"/>
          <c:showVal val="0"/>
          <c:showCatName val="0"/>
          <c:showSerName val="0"/>
          <c:showPercent val="0"/>
          <c:showBubbleSize val="0"/>
        </c:dLbls>
        <c:gapWidth val="150"/>
        <c:overlap val="100"/>
        <c:axId val="1117871968"/>
        <c:axId val="1022608256"/>
      </c:barChart>
      <c:lineChart>
        <c:grouping val="standard"/>
        <c:varyColors val="0"/>
        <c:ser>
          <c:idx val="2"/>
          <c:order val="2"/>
          <c:tx>
            <c:strRef>
              <c:f>'Ark1'!$A$141</c:f>
              <c:strCache>
                <c:ptCount val="1"/>
                <c:pt idx="0">
                  <c:v>Samlet</c:v>
                </c:pt>
              </c:strCache>
            </c:strRef>
          </c:tx>
          <c:spPr>
            <a:ln w="28575" cap="rnd">
              <a:solidFill>
                <a:schemeClr val="accent2"/>
              </a:solidFill>
              <a:round/>
            </a:ln>
            <a:effectLst/>
          </c:spPr>
          <c:marker>
            <c:symbol val="none"/>
          </c:marker>
          <c:val>
            <c:numRef>
              <c:f>'Ark1'!$B$141:$J$141</c:f>
              <c:numCache>
                <c:formatCode>General</c:formatCode>
                <c:ptCount val="9"/>
                <c:pt idx="0">
                  <c:v>1020886</c:v>
                </c:pt>
                <c:pt idx="1">
                  <c:v>1016544</c:v>
                </c:pt>
                <c:pt idx="2">
                  <c:v>1012726</c:v>
                </c:pt>
                <c:pt idx="3">
                  <c:v>1008710</c:v>
                </c:pt>
                <c:pt idx="4">
                  <c:v>1006593</c:v>
                </c:pt>
                <c:pt idx="5">
                  <c:v>1004988</c:v>
                </c:pt>
                <c:pt idx="6">
                  <c:v>1046743</c:v>
                </c:pt>
                <c:pt idx="7">
                  <c:v>1099641</c:v>
                </c:pt>
                <c:pt idx="8">
                  <c:v>1135425</c:v>
                </c:pt>
              </c:numCache>
            </c:numRef>
          </c:val>
          <c:smooth val="0"/>
          <c:extLst>
            <c:ext xmlns:c16="http://schemas.microsoft.com/office/drawing/2014/chart" uri="{C3380CC4-5D6E-409C-BE32-E72D297353CC}">
              <c16:uniqueId val="{00000002-AD13-BE4E-8E22-64957362D433}"/>
            </c:ext>
          </c:extLst>
        </c:ser>
        <c:dLbls>
          <c:showLegendKey val="0"/>
          <c:showVal val="0"/>
          <c:showCatName val="0"/>
          <c:showSerName val="0"/>
          <c:showPercent val="0"/>
          <c:showBubbleSize val="0"/>
        </c:dLbls>
        <c:marker val="1"/>
        <c:smooth val="0"/>
        <c:axId val="1117871968"/>
        <c:axId val="1022608256"/>
      </c:lineChart>
      <c:catAx>
        <c:axId val="1117871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608256"/>
        <c:crosses val="autoZero"/>
        <c:auto val="1"/>
        <c:lblAlgn val="ctr"/>
        <c:lblOffset val="100"/>
        <c:noMultiLvlLbl val="0"/>
      </c:catAx>
      <c:valAx>
        <c:axId val="1022608256"/>
        <c:scaling>
          <c:orientation val="minMax"/>
          <c:max val="1150000.0000000002"/>
          <c:min val="325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7871968"/>
        <c:crosses val="autoZero"/>
        <c:crossBetween val="between"/>
        <c:dispUnits>
          <c:builtInUnit val="thousands"/>
          <c:dispUnitsLbl>
            <c:layout>
              <c:manualLayout>
                <c:xMode val="edge"/>
                <c:yMode val="edge"/>
                <c:x val="3.0555555555555555E-2"/>
                <c:y val="0.27354184893554973"/>
              </c:manualLayout>
            </c:layout>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Tusinde mennesker</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layout>
        <c:manualLayout>
          <c:xMode val="edge"/>
          <c:yMode val="edge"/>
          <c:x val="0.46508530183727043"/>
          <c:y val="0.88948964712744261"/>
          <c:w val="0.50871806649168849"/>
          <c:h val="7.810294546515018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0.0437</cdr:x>
      <cdr:y>0.85185</cdr:y>
    </cdr:from>
    <cdr:to>
      <cdr:x>0.60154</cdr:x>
      <cdr:y>1</cdr:y>
    </cdr:to>
    <cdr:sp macro="" textlink="">
      <cdr:nvSpPr>
        <cdr:cNvPr id="2" name="TextBox 1">
          <a:extLst xmlns:a="http://schemas.openxmlformats.org/drawingml/2006/main">
            <a:ext uri="{FF2B5EF4-FFF2-40B4-BE49-F238E27FC236}">
              <a16:creationId xmlns:a16="http://schemas.microsoft.com/office/drawing/2014/main" id="{89B9351D-BA94-6146-B673-F330B50E8E4A}"/>
            </a:ext>
          </a:extLst>
        </cdr:cNvPr>
        <cdr:cNvSpPr txBox="1"/>
      </cdr:nvSpPr>
      <cdr:spPr>
        <a:xfrm xmlns:a="http://schemas.openxmlformats.org/drawingml/2006/main">
          <a:off x="215900" y="2336800"/>
          <a:ext cx="2755900" cy="406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800" i="1"/>
            <a:t>Anm:</a:t>
          </a:r>
        </a:p>
        <a:p xmlns:a="http://schemas.openxmlformats.org/drawingml/2006/main">
          <a:r>
            <a:rPr lang="en-GB" sz="800" i="1"/>
            <a:t>KIlde:</a:t>
          </a:r>
          <a:r>
            <a:rPr lang="en-GB" sz="800" i="1" baseline="0"/>
            <a:t> STO  s.19 samt egne beregninger</a:t>
          </a:r>
          <a:endParaRPr lang="en-GB" sz="800" i="1"/>
        </a:p>
      </cdr:txBody>
    </cdr:sp>
  </cdr:relSizeAnchor>
</c:userShapes>
</file>

<file path=word/drawings/drawing2.xml><?xml version="1.0" encoding="utf-8"?>
<c:userShapes xmlns:c="http://schemas.openxmlformats.org/drawingml/2006/chart">
  <cdr:relSizeAnchor xmlns:cdr="http://schemas.openxmlformats.org/drawingml/2006/chartDrawing">
    <cdr:from>
      <cdr:x>0.02361</cdr:x>
      <cdr:y>0.86574</cdr:y>
    </cdr:from>
    <cdr:to>
      <cdr:x>0.45139</cdr:x>
      <cdr:y>1</cdr:y>
    </cdr:to>
    <cdr:sp macro="" textlink="">
      <cdr:nvSpPr>
        <cdr:cNvPr id="2" name="TextBox 1">
          <a:extLst xmlns:a="http://schemas.openxmlformats.org/drawingml/2006/main">
            <a:ext uri="{FF2B5EF4-FFF2-40B4-BE49-F238E27FC236}">
              <a16:creationId xmlns:a16="http://schemas.microsoft.com/office/drawing/2014/main" id="{7A817ED6-E4D5-7741-9320-929DD1E3DA73}"/>
            </a:ext>
          </a:extLst>
        </cdr:cNvPr>
        <cdr:cNvSpPr txBox="1"/>
      </cdr:nvSpPr>
      <cdr:spPr>
        <a:xfrm xmlns:a="http://schemas.openxmlformats.org/drawingml/2006/main">
          <a:off x="107950" y="2374900"/>
          <a:ext cx="1955800" cy="368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800" i="1"/>
            <a:t>Anm:</a:t>
          </a:r>
        </a:p>
        <a:p xmlns:a="http://schemas.openxmlformats.org/drawingml/2006/main">
          <a:r>
            <a:rPr lang="en-GB" sz="800" i="1"/>
            <a:t>Kilde: Hjarns note</a:t>
          </a:r>
          <a:r>
            <a:rPr lang="en-GB" sz="800" i="1" baseline="0"/>
            <a:t> samt egne beregninger </a:t>
          </a:r>
          <a:endParaRPr lang="en-GB" sz="800" i="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2</cp:revision>
  <cp:lastPrinted>2021-03-05T08:57:00Z</cp:lastPrinted>
  <dcterms:created xsi:type="dcterms:W3CDTF">2021-03-05T07:27:00Z</dcterms:created>
  <dcterms:modified xsi:type="dcterms:W3CDTF">2021-03-05T08:58:00Z</dcterms:modified>
</cp:coreProperties>
</file>