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362A" w14:textId="696876C9" w:rsidR="009F3539" w:rsidRDefault="000D2783" w:rsidP="00944C57">
      <w:pPr>
        <w:spacing w:line="360" w:lineRule="auto"/>
        <w:rPr>
          <w:lang w:val="da-DK"/>
        </w:rPr>
      </w:pPr>
      <w:r>
        <w:rPr>
          <w:lang w:val="da-DK"/>
        </w:rPr>
        <w:t>Indledende skal det nævnes, at denne opgave</w:t>
      </w:r>
      <w:r w:rsidR="0064054F">
        <w:rPr>
          <w:lang w:val="da-DK"/>
        </w:rPr>
        <w:t xml:space="preserve"> er bygget på beregninger af nominelle værdier</w:t>
      </w:r>
      <w:r>
        <w:rPr>
          <w:lang w:val="da-DK"/>
        </w:rPr>
        <w:t>. Der tages derfor ikke højde for mulig inflation gennem hele perioden.</w:t>
      </w:r>
      <w:r w:rsidR="009F3539">
        <w:rPr>
          <w:lang w:val="da-DK"/>
        </w:rPr>
        <w:t xml:space="preserve"> Af denne grund kan der ikke skelnes mellem en mængde- eller prisudvikling. </w:t>
      </w:r>
      <w:r w:rsidR="0064054F">
        <w:rPr>
          <w:lang w:val="da-DK"/>
        </w:rPr>
        <w:t>Brugen af nominelle værdier er en</w:t>
      </w:r>
      <w:r w:rsidR="009F3539">
        <w:rPr>
          <w:lang w:val="da-DK"/>
        </w:rPr>
        <w:t xml:space="preserve"> nødvendighed, da opgaven</w:t>
      </w:r>
      <w:r w:rsidR="0064054F">
        <w:rPr>
          <w:lang w:val="da-DK"/>
        </w:rPr>
        <w:t xml:space="preserve"> gør brug af beregninger, hvor i nominelle værdier er nødvendige.</w:t>
      </w:r>
      <w:r w:rsidR="009F3539">
        <w:rPr>
          <w:lang w:val="da-DK"/>
        </w:rPr>
        <w:t xml:space="preserve"> </w:t>
      </w:r>
      <w:r w:rsidR="0064054F">
        <w:rPr>
          <w:lang w:val="da-DK"/>
        </w:rPr>
        <w:t xml:space="preserve">Heriblandt andelsberegninger. </w:t>
      </w:r>
      <w:r w:rsidR="009F3539">
        <w:rPr>
          <w:lang w:val="da-DK"/>
        </w:rPr>
        <w:t xml:space="preserve"> </w:t>
      </w:r>
    </w:p>
    <w:p w14:paraId="3F179A0E" w14:textId="193B2E36" w:rsidR="009F3539" w:rsidRDefault="009F3539" w:rsidP="00944C57">
      <w:pPr>
        <w:spacing w:line="360" w:lineRule="auto"/>
        <w:rPr>
          <w:lang w:val="da-DK"/>
        </w:rPr>
      </w:pPr>
    </w:p>
    <w:p w14:paraId="4FBD5972" w14:textId="394F4DB5" w:rsidR="009F3539" w:rsidRDefault="009F3539" w:rsidP="00944C57">
      <w:pPr>
        <w:spacing w:line="360" w:lineRule="auto"/>
        <w:rPr>
          <w:b/>
          <w:bCs/>
          <w:lang w:val="da-DK"/>
        </w:rPr>
      </w:pPr>
      <w:r>
        <w:rPr>
          <w:b/>
          <w:bCs/>
          <w:lang w:val="da-DK"/>
        </w:rPr>
        <w:t xml:space="preserve">Det Danske Skattesystem og Skattetryk </w:t>
      </w:r>
    </w:p>
    <w:p w14:paraId="3403F410" w14:textId="237CD0D9" w:rsidR="005E035A" w:rsidRDefault="009F3539" w:rsidP="00944C57">
      <w:pPr>
        <w:spacing w:line="360" w:lineRule="auto"/>
        <w:rPr>
          <w:lang w:val="da-DK"/>
        </w:rPr>
      </w:pPr>
      <w:r>
        <w:rPr>
          <w:lang w:val="da-DK"/>
        </w:rPr>
        <w:t>I Danmark forstås skatter</w:t>
      </w:r>
      <w:r w:rsidR="005E035A">
        <w:rPr>
          <w:lang w:val="da-DK"/>
        </w:rPr>
        <w:t xml:space="preserve"> og afgifter</w:t>
      </w:r>
      <w:r>
        <w:rPr>
          <w:lang w:val="da-DK"/>
        </w:rPr>
        <w:t xml:space="preserve"> som obligatoriske ydelser, </w:t>
      </w:r>
      <w:r w:rsidR="005E035A">
        <w:rPr>
          <w:lang w:val="da-DK"/>
        </w:rPr>
        <w:t>der betales til staten, uden modtagelse af en direkte modydelse</w:t>
      </w:r>
      <w:r w:rsidR="00024982">
        <w:rPr>
          <w:lang w:val="da-DK"/>
        </w:rPr>
        <w:t xml:space="preserve"> </w:t>
      </w:r>
      <w:r w:rsidR="00024982">
        <w:rPr>
          <w:b/>
          <w:bCs/>
          <w:lang w:val="da-DK"/>
        </w:rPr>
        <w:t>jf</w:t>
      </w:r>
      <w:r w:rsidR="0025396C">
        <w:rPr>
          <w:b/>
          <w:bCs/>
          <w:lang w:val="da-DK"/>
        </w:rPr>
        <w:t>.</w:t>
      </w:r>
      <w:r w:rsidR="00024982">
        <w:rPr>
          <w:b/>
          <w:bCs/>
          <w:lang w:val="da-DK"/>
        </w:rPr>
        <w:t xml:space="preserve"> DØS s. 143</w:t>
      </w:r>
      <w:r w:rsidR="005E035A">
        <w:rPr>
          <w:lang w:val="da-DK"/>
        </w:rPr>
        <w:t xml:space="preserve">. I Danmark er det den lovgivende magt, der udsteder skatter og afgifter. Folketinget kan dog uddelegere opgaven til delsektorer under staten. Derfor betaler majoriteten af danskerne i dag kommuneskat og statsskat. </w:t>
      </w:r>
    </w:p>
    <w:p w14:paraId="13180A5F" w14:textId="5981E447" w:rsidR="005E035A" w:rsidRDefault="005E035A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     </w:t>
      </w:r>
      <w:r w:rsidR="00024982">
        <w:rPr>
          <w:lang w:val="da-DK"/>
        </w:rPr>
        <w:t>Skatteprovenuet afhænger af to både skattesatserne og skattebasen. Satserne er politisk bestemt, og afgøre hvilken procentdel, der skal afgives til staten. Basen beskrives som omfatningen af skatterne</w:t>
      </w:r>
      <w:r>
        <w:rPr>
          <w:lang w:val="da-DK"/>
        </w:rPr>
        <w:t>.</w:t>
      </w:r>
      <w:r w:rsidR="00024982">
        <w:rPr>
          <w:lang w:val="da-DK"/>
        </w:rPr>
        <w:t xml:space="preserve"> Af denne grund af basen både politisk bestemt og afhængig af konjunkturerne.</w:t>
      </w:r>
      <w:r>
        <w:rPr>
          <w:lang w:val="da-DK"/>
        </w:rPr>
        <w:t xml:space="preserve"> </w:t>
      </w:r>
      <w:r w:rsidR="004E7494">
        <w:rPr>
          <w:lang w:val="da-DK"/>
        </w:rPr>
        <w:t>Topskatten er et godt eksempel. Rammerne for marginalskatten er politisk bestemt, men des mere den individuelle tjener, des mere skal individet afgive til staten.</w:t>
      </w:r>
      <w:r w:rsidR="00DC387B">
        <w:rPr>
          <w:lang w:val="da-DK"/>
        </w:rPr>
        <w:t xml:space="preserve"> Teoretisk vil skatte</w:t>
      </w:r>
      <w:r w:rsidR="00024982">
        <w:rPr>
          <w:lang w:val="da-DK"/>
        </w:rPr>
        <w:t>provenuet</w:t>
      </w:r>
      <w:r w:rsidR="00DC387B">
        <w:rPr>
          <w:lang w:val="da-DK"/>
        </w:rPr>
        <w:t xml:space="preserve"> være stigende under højkonjunkturer, da flere individer får højere indkomst, og derved skal afgive en højere procentsats. </w:t>
      </w:r>
      <w:r w:rsidR="00024982">
        <w:rPr>
          <w:lang w:val="da-DK"/>
        </w:rPr>
        <w:t xml:space="preserve">Samt omvendt ved lavkonjunkturer. </w:t>
      </w:r>
      <w:r w:rsidR="002246B8">
        <w:rPr>
          <w:lang w:val="da-DK"/>
        </w:rPr>
        <w:t xml:space="preserve"> </w:t>
      </w:r>
    </w:p>
    <w:p w14:paraId="2E15055F" w14:textId="389554C8" w:rsidR="00DC387B" w:rsidRDefault="00DC387B" w:rsidP="00944C57">
      <w:pPr>
        <w:spacing w:line="360" w:lineRule="auto"/>
        <w:rPr>
          <w:lang w:val="da-DK"/>
        </w:rPr>
      </w:pPr>
    </w:p>
    <w:p w14:paraId="53E25299" w14:textId="21FF5DB3" w:rsidR="005E3B27" w:rsidRDefault="005E3B27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Opgørelsen af skattetrykket kan ske på flere måder. </w:t>
      </w:r>
    </w:p>
    <w:p w14:paraId="5CBA5A24" w14:textId="14311093" w:rsidR="005E3B27" w:rsidRDefault="005E3B27" w:rsidP="00944C57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 xml:space="preserve">Traditionelt set opgøres det som de samlede skatter og afgifter over BNP. </w:t>
      </w:r>
    </w:p>
    <w:p w14:paraId="39559897" w14:textId="2FD53B5F" w:rsidR="005E3B27" w:rsidRDefault="005E3B27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Dette gør det let at sammenligne på tværs af lande. Der tages dog ikke højde for hverken modydelser </w:t>
      </w:r>
      <w:r w:rsidR="002246B8">
        <w:rPr>
          <w:lang w:val="da-DK"/>
        </w:rPr>
        <w:t xml:space="preserve">til den danske befolkning </w:t>
      </w:r>
      <w:r>
        <w:rPr>
          <w:lang w:val="da-DK"/>
        </w:rPr>
        <w:t xml:space="preserve">eller nettoindkomst fra udlandet. </w:t>
      </w:r>
    </w:p>
    <w:p w14:paraId="5405E875" w14:textId="456A5ADA" w:rsidR="005E3B27" w:rsidRDefault="005E3B27" w:rsidP="00944C57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>Korriget skattetryk</w:t>
      </w:r>
      <w:r w:rsidR="002246B8">
        <w:rPr>
          <w:lang w:val="da-DK"/>
        </w:rPr>
        <w:t xml:space="preserve"> beregnes som de samlede skatter og afgifter over disponibel bruttonationalindkomst</w:t>
      </w:r>
    </w:p>
    <w:p w14:paraId="1C2C3098" w14:textId="369124B5" w:rsidR="002246B8" w:rsidRDefault="002246B8" w:rsidP="00944C57">
      <w:pPr>
        <w:spacing w:line="360" w:lineRule="auto"/>
        <w:rPr>
          <w:lang w:val="da-DK"/>
        </w:rPr>
      </w:pPr>
      <w:r>
        <w:rPr>
          <w:lang w:val="da-DK"/>
        </w:rPr>
        <w:t>Her tages der højde for nettoindkomst fra udlandet. Dette giver et bedre billede af Danmarks samlede indkomst.</w:t>
      </w:r>
    </w:p>
    <w:p w14:paraId="7939F5C3" w14:textId="4897FE98" w:rsidR="002246B8" w:rsidRDefault="002246B8" w:rsidP="00944C57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>Det modificeret skattetryk beregnes som disponibel offentlig bruttoindkomst over disponibel bruttonationalindkomst.</w:t>
      </w:r>
    </w:p>
    <w:p w14:paraId="6E8DE44B" w14:textId="58F4442D" w:rsidR="009C78AA" w:rsidRDefault="002246B8" w:rsidP="00944C57">
      <w:pPr>
        <w:spacing w:line="360" w:lineRule="auto"/>
        <w:rPr>
          <w:lang w:val="da-DK"/>
        </w:rPr>
      </w:pPr>
      <w:r>
        <w:rPr>
          <w:lang w:val="da-DK"/>
        </w:rPr>
        <w:t>I denne beregning tages der både højde for udenlandske nettoindkomster og ydelser, der føres direkte tilbage til den danske befolkning</w:t>
      </w:r>
      <w:r w:rsidR="001A433C">
        <w:rPr>
          <w:lang w:val="da-DK"/>
        </w:rPr>
        <w:t xml:space="preserve"> </w:t>
      </w:r>
      <w:r w:rsidR="001A433C">
        <w:rPr>
          <w:b/>
          <w:bCs/>
          <w:lang w:val="da-DK"/>
        </w:rPr>
        <w:t>jf. STO s. 142</w:t>
      </w:r>
      <w:r>
        <w:rPr>
          <w:lang w:val="da-DK"/>
        </w:rPr>
        <w:t>.</w:t>
      </w:r>
      <w:r w:rsidR="0070216C">
        <w:rPr>
          <w:lang w:val="da-DK"/>
        </w:rPr>
        <w:t xml:space="preserve"> Ved at rense for modydelserne </w:t>
      </w:r>
      <w:r w:rsidR="0070216C">
        <w:rPr>
          <w:lang w:val="da-DK"/>
        </w:rPr>
        <w:lastRenderedPageBreak/>
        <w:t xml:space="preserve">vil dette skattetryk </w:t>
      </w:r>
      <w:r w:rsidR="00947474">
        <w:rPr>
          <w:lang w:val="da-DK"/>
        </w:rPr>
        <w:t>automatisk blive mindre, da tælleren formindsket.</w:t>
      </w:r>
      <w:r w:rsidR="008C1062">
        <w:rPr>
          <w:lang w:val="da-DK"/>
        </w:rPr>
        <w:t xml:space="preserve"> </w:t>
      </w:r>
      <w:r w:rsidR="009C78AA">
        <w:rPr>
          <w:lang w:val="da-DK"/>
        </w:rPr>
        <w:t xml:space="preserve">Dette ses blandt andet i figur 1.1. </w:t>
      </w:r>
    </w:p>
    <w:p w14:paraId="0954F000" w14:textId="1A87EFC4" w:rsidR="009C78AA" w:rsidRDefault="009C78AA" w:rsidP="00944C57">
      <w:pPr>
        <w:spacing w:line="360" w:lineRule="auto"/>
        <w:rPr>
          <w:lang w:val="da-DK"/>
        </w:rPr>
      </w:pPr>
    </w:p>
    <w:p w14:paraId="37BA3589" w14:textId="125FDDC4" w:rsidR="00FB6294" w:rsidRDefault="009C78AA" w:rsidP="00944C57">
      <w:pPr>
        <w:spacing w:line="360" w:lineRule="auto"/>
        <w:rPr>
          <w:lang w:val="da-DK"/>
        </w:rPr>
      </w:pPr>
      <w:r>
        <w:rPr>
          <w:noProof/>
        </w:rPr>
        <w:drawing>
          <wp:inline distT="0" distB="0" distL="0" distR="0" wp14:anchorId="2B8ED73B" wp14:editId="4F69D8A0">
            <wp:extent cx="4838700" cy="30861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D42818-38B2-C647-B245-C96E9B8AA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B7A1B7" w14:textId="5DB331CD" w:rsidR="009C78AA" w:rsidRDefault="008E698A" w:rsidP="00944C57">
      <w:pPr>
        <w:spacing w:line="360" w:lineRule="auto"/>
        <w:rPr>
          <w:lang w:val="da-DK"/>
        </w:rPr>
      </w:pPr>
      <w:r>
        <w:rPr>
          <w:lang w:val="da-DK"/>
        </w:rPr>
        <w:t>Perioden kan opdeles i 3 dele. Første del løbende fra 2005-2009 hvori alle skattetryk er faldende. Her falder det traditionelle, korrigeret og modificeret ca. 4 procentpoint fra 49% til 45%. Samtidigt falder det modificeret langsommere fra 33% til 29%. I perioden er 2010-2014 er alle skattetryk stigende.</w:t>
      </w:r>
      <w:r w:rsidR="006B227B">
        <w:rPr>
          <w:lang w:val="da-DK"/>
        </w:rPr>
        <w:t xml:space="preserve"> Det traditionelle, korrigeret og modificeret stiger hhv. ca. 5, 4 og 3 pct. point i perioden. I perioden 2014-2018 er </w:t>
      </w:r>
      <w:r w:rsidR="00372AD1">
        <w:rPr>
          <w:lang w:val="da-DK"/>
        </w:rPr>
        <w:t xml:space="preserve">de forskellige skattetryk faldende. </w:t>
      </w:r>
      <w:r w:rsidR="00210D38">
        <w:rPr>
          <w:lang w:val="da-DK"/>
        </w:rPr>
        <w:t xml:space="preserve">Yderligere kan finanskrisen udledes omkring 2009 ved et mindre fald. </w:t>
      </w:r>
    </w:p>
    <w:p w14:paraId="34B1ADF6" w14:textId="26D66238" w:rsidR="00B603BE" w:rsidRDefault="00B603BE" w:rsidP="00944C57">
      <w:pPr>
        <w:spacing w:line="360" w:lineRule="auto"/>
        <w:rPr>
          <w:lang w:val="da-DK"/>
        </w:rPr>
      </w:pPr>
    </w:p>
    <w:p w14:paraId="29A085AE" w14:textId="77777777" w:rsidR="001A433C" w:rsidRDefault="00514198" w:rsidP="00944C57">
      <w:pPr>
        <w:spacing w:line="360" w:lineRule="auto"/>
        <w:rPr>
          <w:lang w:val="da-DK"/>
        </w:rPr>
      </w:pPr>
      <w:r>
        <w:rPr>
          <w:lang w:val="da-DK"/>
        </w:rPr>
        <w:t>Dette kan videreføres til at se på udviklingen i skattestrukturen i Danmark. Her zoomes der ind på indkomstskatterne, formue- og ejendomskatten og afgifter på varer og tjenester slået sammen. De samlede skatter og afgifter består yderligere er nogle flere indirekte skatter og bidrag til sociale ordninger</w:t>
      </w:r>
      <w:r w:rsidR="001179E7">
        <w:rPr>
          <w:lang w:val="da-DK"/>
        </w:rPr>
        <w:t xml:space="preserve"> såsom arbejdsmarkedsbidrag</w:t>
      </w:r>
      <w:r>
        <w:rPr>
          <w:lang w:val="da-DK"/>
        </w:rPr>
        <w:t xml:space="preserve">, men </w:t>
      </w:r>
      <w:r w:rsidR="001179E7">
        <w:rPr>
          <w:lang w:val="da-DK"/>
        </w:rPr>
        <w:t>disse</w:t>
      </w:r>
      <w:r>
        <w:rPr>
          <w:lang w:val="da-DK"/>
        </w:rPr>
        <w:t xml:space="preserve"> er </w:t>
      </w:r>
      <w:r w:rsidR="001179E7">
        <w:rPr>
          <w:lang w:val="da-DK"/>
        </w:rPr>
        <w:t xml:space="preserve">minimale ift. de tre ovennævnte. De tre hovedgrupper er derfor de førnævnte. </w:t>
      </w:r>
    </w:p>
    <w:p w14:paraId="7698C338" w14:textId="3BD5BC68" w:rsidR="001179E7" w:rsidRDefault="001A433C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     </w:t>
      </w:r>
      <w:r w:rsidR="001179E7">
        <w:rPr>
          <w:lang w:val="da-DK"/>
        </w:rPr>
        <w:t xml:space="preserve">Her defineres indkomstskatten som den procentdel, man afgiver til staten af ens afgift. Ejendoms- og formueskatten er skatten betalt af ens besiddelser </w:t>
      </w:r>
      <w:r w:rsidR="00513615">
        <w:rPr>
          <w:lang w:val="da-DK"/>
        </w:rPr>
        <w:t xml:space="preserve">for eksempel bolig og arv. Afgifter af varer og tjenester defineres ved de afgifter, der betales for varer og tjenester. Herunder falder for eksempel moms, sukker- og fedtafgift osv. </w:t>
      </w:r>
    </w:p>
    <w:p w14:paraId="3EA06C2E" w14:textId="77777777" w:rsidR="001179E7" w:rsidRDefault="001179E7" w:rsidP="00944C57">
      <w:pPr>
        <w:spacing w:line="360" w:lineRule="auto"/>
        <w:rPr>
          <w:lang w:val="da-DK"/>
        </w:rPr>
      </w:pPr>
    </w:p>
    <w:p w14:paraId="4C745C43" w14:textId="463C4CEC" w:rsidR="00513615" w:rsidRDefault="001179E7" w:rsidP="00944C57">
      <w:pPr>
        <w:spacing w:line="360" w:lineRule="auto"/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44534EA3" wp14:editId="3FDE0F8F">
            <wp:extent cx="5613400" cy="30734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C78DEA1-D411-0044-AECE-7C9FA7C99F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874F3B" w14:textId="4809FABF" w:rsidR="00513615" w:rsidRDefault="00513615" w:rsidP="00944C57">
      <w:pPr>
        <w:spacing w:line="360" w:lineRule="auto"/>
        <w:rPr>
          <w:lang w:val="da-DK"/>
        </w:rPr>
      </w:pPr>
      <w:r>
        <w:rPr>
          <w:lang w:val="da-DK"/>
        </w:rPr>
        <w:t>Det ses gennem hele perioden, at indkomstskatten udgør hoveddelen af de samlede skatter og indtægter</w:t>
      </w:r>
      <w:r w:rsidR="00DB52D9">
        <w:rPr>
          <w:lang w:val="da-DK"/>
        </w:rPr>
        <w:t xml:space="preserve"> jf. Figur 1.2</w:t>
      </w:r>
      <w:r>
        <w:rPr>
          <w:lang w:val="da-DK"/>
        </w:rPr>
        <w:t>. I hele perioden ligger de over 60%</w:t>
      </w:r>
      <w:r w:rsidR="00DB52D9">
        <w:rPr>
          <w:lang w:val="da-DK"/>
        </w:rPr>
        <w:t xml:space="preserve">, og er lettere stigende  gennem hele perioden fra ca. 62 til 64%. </w:t>
      </w:r>
      <w:r>
        <w:rPr>
          <w:lang w:val="da-DK"/>
        </w:rPr>
        <w:t>Andelen</w:t>
      </w:r>
      <w:r w:rsidR="00DB52D9">
        <w:rPr>
          <w:lang w:val="da-DK"/>
        </w:rPr>
        <w:t xml:space="preserve"> udgjort af afgifter</w:t>
      </w:r>
      <w:r>
        <w:rPr>
          <w:lang w:val="da-DK"/>
        </w:rPr>
        <w:t xml:space="preserve"> er gennem hele perioden lettere faldende. Her falder andelen fra 33,5% til 29.5% fra 2005</w:t>
      </w:r>
      <w:r w:rsidR="00DB52D9">
        <w:rPr>
          <w:lang w:val="da-DK"/>
        </w:rPr>
        <w:t>-</w:t>
      </w:r>
      <w:r>
        <w:rPr>
          <w:lang w:val="da-DK"/>
        </w:rPr>
        <w:t>2019. Et fald på 4 procent point. Efter en stigende andel fra ca. 4% til 5% fra 2005-200</w:t>
      </w:r>
      <w:r w:rsidR="00DB52D9">
        <w:rPr>
          <w:lang w:val="da-DK"/>
        </w:rPr>
        <w:t>8, fastholdelses andelen omkring de 5% i resten af perioden. I 2014 stiger indkomstskatten til sin højeste andel, samtidig med at afgifternes og formuernes andel falder. De udgør hhv. ca. 65,5%, 29% og 4,75%.</w:t>
      </w:r>
    </w:p>
    <w:p w14:paraId="7C70F7C9" w14:textId="43A8D6FD" w:rsidR="001179E7" w:rsidRDefault="001179E7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  </w:t>
      </w:r>
    </w:p>
    <w:p w14:paraId="6AA7A0BC" w14:textId="77192A00" w:rsidR="00946607" w:rsidRDefault="009F3539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 </w:t>
      </w:r>
      <w:r w:rsidR="00C673B5">
        <w:rPr>
          <w:lang w:val="da-DK"/>
        </w:rPr>
        <w:t>Indkomstskatten, der udgør majoriteten af de samlede skatter og afgifter jf. tabel 1.2, har følgende delkomponenter:</w:t>
      </w:r>
    </w:p>
    <w:p w14:paraId="0526429E" w14:textId="073B89B1" w:rsidR="00C673B5" w:rsidRDefault="00C673B5" w:rsidP="00944C57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 xml:space="preserve">Pensionsafkastskat, som betales af det overskud, som hentes ved kursgevinster og udbytte ved at have ens pensions investeret. </w:t>
      </w:r>
    </w:p>
    <w:p w14:paraId="121E08E5" w14:textId="6BE0B4FD" w:rsidR="00C673B5" w:rsidRDefault="00C673B5" w:rsidP="00944C57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 xml:space="preserve">Selskabsskatten, som selskaber betaler af deres overskud. </w:t>
      </w:r>
    </w:p>
    <w:p w14:paraId="268C3AC8" w14:textId="75B3B927" w:rsidR="00C673B5" w:rsidRDefault="00C673B5" w:rsidP="00944C57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 xml:space="preserve">Personlige indkomstskatter, som husholdningerne betaler til staten af deres indtægt. </w:t>
      </w:r>
    </w:p>
    <w:p w14:paraId="3CD7A2D8" w14:textId="274E65FB" w:rsidR="00C673B5" w:rsidRDefault="00C673B5" w:rsidP="00944C57">
      <w:pPr>
        <w:spacing w:line="360" w:lineRule="auto"/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4D136B74" wp14:editId="686492A1">
            <wp:extent cx="5676900" cy="35433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6BB6FD0-F653-FC45-87DF-00B3D5A16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8D682A" w14:textId="080C17C6" w:rsidR="00C673B5" w:rsidRDefault="00C673B5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Gennem hele perioden består hoveddelen af de samlede indkomstskatter af </w:t>
      </w:r>
      <w:r w:rsidR="00991FCD">
        <w:rPr>
          <w:lang w:val="da-DK"/>
        </w:rPr>
        <w:t xml:space="preserve">de personlige indkomstskatter. I perioden 2005-2009 er der en stigning i andelen fra ca. 80% til ca. 91%. 2010-2012 og 2015-2017 er andelen aftagende. I årene 2013, 2015 og 2018 udgør de personlige indkomstskatter ca. 87%, men de er alle omringet af år med lave andele. </w:t>
      </w:r>
    </w:p>
    <w:p w14:paraId="52F8BC94" w14:textId="0507CFA2" w:rsidR="00991FCD" w:rsidRDefault="00991FCD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I perioden 2005-2009 er selskabskatten faldende fra ca. 12% til 7%. Fra 2010-2019 er den stigende fra 8% til 10%. </w:t>
      </w:r>
      <w:r w:rsidR="001A433C">
        <w:rPr>
          <w:lang w:val="da-DK"/>
        </w:rPr>
        <w:t>I perioderne 2005-2009 og 2015-2018 mindre andele. I de resterende år udgør de ca. 8%</w:t>
      </w:r>
      <w:r>
        <w:rPr>
          <w:lang w:val="da-DK"/>
        </w:rPr>
        <w:t xml:space="preserve">  </w:t>
      </w:r>
    </w:p>
    <w:p w14:paraId="17B53D11" w14:textId="1EF46608" w:rsidR="004E6929" w:rsidRDefault="004E6929" w:rsidP="00944C57">
      <w:pPr>
        <w:spacing w:line="360" w:lineRule="auto"/>
        <w:rPr>
          <w:lang w:val="da-DK"/>
        </w:rPr>
      </w:pPr>
    </w:p>
    <w:p w14:paraId="1289CD81" w14:textId="754DC5F9" w:rsidR="00C673B5" w:rsidRDefault="005A2502" w:rsidP="00944C57">
      <w:pPr>
        <w:spacing w:line="360" w:lineRule="auto"/>
        <w:rPr>
          <w:b/>
          <w:bCs/>
          <w:lang w:val="da-DK"/>
        </w:rPr>
      </w:pPr>
      <w:r w:rsidRPr="005A2502">
        <w:rPr>
          <w:b/>
          <w:bCs/>
          <w:lang w:val="da-DK"/>
        </w:rPr>
        <w:t>Hvilke forklaringer kan der være på den udledte udvikling?</w:t>
      </w:r>
    </w:p>
    <w:p w14:paraId="1542BFF5" w14:textId="7CF701CF" w:rsidR="00EF4B2B" w:rsidRDefault="00210D38" w:rsidP="00944C57">
      <w:pPr>
        <w:spacing w:line="360" w:lineRule="auto"/>
        <w:rPr>
          <w:lang w:val="da-DK"/>
        </w:rPr>
      </w:pPr>
      <w:r>
        <w:rPr>
          <w:lang w:val="da-DK"/>
        </w:rPr>
        <w:t>Det mindre f</w:t>
      </w:r>
      <w:r w:rsidR="00EF4B2B">
        <w:rPr>
          <w:lang w:val="da-DK"/>
        </w:rPr>
        <w:t xml:space="preserve">ald i skattetrykket omkring </w:t>
      </w:r>
      <w:r>
        <w:rPr>
          <w:lang w:val="da-DK"/>
        </w:rPr>
        <w:t>2009</w:t>
      </w:r>
      <w:r w:rsidR="00EF4B2B">
        <w:rPr>
          <w:lang w:val="da-DK"/>
        </w:rPr>
        <w:t>, kan forklares ud fra finanskrisen, der påbegyndte sit indtog i denne periode. Det kan også være en forklaringsfaktor i faldet i afgifter for varer og tjenester i perioden</w:t>
      </w:r>
      <w:r w:rsidR="00FD47A2">
        <w:rPr>
          <w:lang w:val="da-DK"/>
        </w:rPr>
        <w:t xml:space="preserve"> efter finanskrisen</w:t>
      </w:r>
      <w:r w:rsidR="00EF4B2B">
        <w:rPr>
          <w:lang w:val="da-DK"/>
        </w:rPr>
        <w:t xml:space="preserve">. </w:t>
      </w:r>
      <w:r w:rsidR="00FD47A2">
        <w:rPr>
          <w:lang w:val="da-DK"/>
        </w:rPr>
        <w:t xml:space="preserve">Usikkerheden efter finanskrisen i økonomien mindsker købet af afgiftstunge varer og tjenester. </w:t>
      </w:r>
      <w:r w:rsidR="00EF4B2B">
        <w:rPr>
          <w:lang w:val="da-DK"/>
        </w:rPr>
        <w:t xml:space="preserve">Dette forstærkes yderligere af en faldende forbrugskvote i perioden efter finanskrisen </w:t>
      </w:r>
      <w:r w:rsidR="00EF4B2B">
        <w:rPr>
          <w:b/>
          <w:bCs/>
          <w:lang w:val="da-DK"/>
        </w:rPr>
        <w:t>jf. figur 6.2 DØS s. 106</w:t>
      </w:r>
      <w:r w:rsidR="00EF4B2B">
        <w:rPr>
          <w:lang w:val="da-DK"/>
        </w:rPr>
        <w:t xml:space="preserve">. Ydermere kan det være en forklaringsfaktor i faldet fra 2009-2010 i de personlige indkomstskatter. Da som tidligere nævnt falder skatteprovenuet i en lavkonjunktur. Stigende skatteprovenu opnås ofte gennem skatten, når konjunkturerne viser positiv vækst. Derfor kan konjunkturer også være en forklaringsfaktor i stigningen i andelen de personlige indkomstskatter udgør </w:t>
      </w:r>
      <w:r w:rsidR="00EF4B2B">
        <w:rPr>
          <w:lang w:val="da-DK"/>
        </w:rPr>
        <w:lastRenderedPageBreak/>
        <w:t>fra 2005-2009. Ydermere</w:t>
      </w:r>
      <w:r w:rsidR="00FD47A2">
        <w:rPr>
          <w:lang w:val="da-DK"/>
        </w:rPr>
        <w:t xml:space="preserve"> kan det</w:t>
      </w:r>
      <w:r w:rsidR="00EF4B2B">
        <w:rPr>
          <w:lang w:val="da-DK"/>
        </w:rPr>
        <w:t xml:space="preserve"> være en forklaring for det høje skattetryk i starten af perioden jf. figur 1.1. </w:t>
      </w:r>
    </w:p>
    <w:p w14:paraId="3AD3BAF0" w14:textId="77777777" w:rsidR="00845C18" w:rsidRDefault="00FD47A2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     Selskabskatten er også konjunkturafhængig, da virksomheder generer større overskud, når forbrugerne køber deres varer og tjenester. Som tidligere nævnt startede andelen, selskabsskatten udgjorde, </w:t>
      </w:r>
      <w:r w:rsidR="00845C18">
        <w:rPr>
          <w:lang w:val="da-DK"/>
        </w:rPr>
        <w:t xml:space="preserve">højt, men omkring var den på sit laveste jf. figur 1.3. I perioden efter og frem til i dag har andelen været stigende, hvilket blandt andet kan forklares ved forbedret konjunkturforhold. </w:t>
      </w:r>
    </w:p>
    <w:p w14:paraId="01089323" w14:textId="550E3678" w:rsidR="0025396C" w:rsidRDefault="00845C18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     Samtidig med at andelen af selskabskatten er steget, er satserne samtidig sat ned gennem Vækstplan 2013 </w:t>
      </w:r>
      <w:r>
        <w:rPr>
          <w:b/>
          <w:bCs/>
          <w:lang w:val="da-DK"/>
        </w:rPr>
        <w:t>jf. DØS s 149</w:t>
      </w:r>
      <w:r>
        <w:rPr>
          <w:lang w:val="da-DK"/>
        </w:rPr>
        <w:t>. Gennem blev reformen blev skatten gradvist sænket til 22% i 2016.</w:t>
      </w:r>
      <w:r w:rsidR="00494793">
        <w:rPr>
          <w:lang w:val="da-DK"/>
        </w:rPr>
        <w:t xml:space="preserve"> Altså skattesatsen blev nedsat.</w:t>
      </w:r>
      <w:r>
        <w:rPr>
          <w:lang w:val="da-DK"/>
        </w:rPr>
        <w:t xml:space="preserve"> Institutionelle tiltag</w:t>
      </w:r>
      <w:r w:rsidR="0025396C">
        <w:rPr>
          <w:lang w:val="da-DK"/>
        </w:rPr>
        <w:t xml:space="preserve"> kan</w:t>
      </w:r>
      <w:r>
        <w:rPr>
          <w:lang w:val="da-DK"/>
        </w:rPr>
        <w:t xml:space="preserve"> yderligere forklare den forholdsvis stabile andel ejendoms- og formueskatten udgør gennem hele perioden. Her kan indførelsen af nominalprincippet, der </w:t>
      </w:r>
      <w:r w:rsidR="00A15896">
        <w:rPr>
          <w:lang w:val="da-DK"/>
        </w:rPr>
        <w:t xml:space="preserve">blandt andet låste den afgiftsskyldige ejendomsværdi fast </w:t>
      </w:r>
      <w:r w:rsidR="00A15896">
        <w:rPr>
          <w:b/>
          <w:bCs/>
          <w:lang w:val="da-DK"/>
        </w:rPr>
        <w:t xml:space="preserve">jf. DØS s. 153. </w:t>
      </w:r>
      <w:r w:rsidR="0025396C">
        <w:rPr>
          <w:lang w:val="da-DK"/>
        </w:rPr>
        <w:t xml:space="preserve">Det høje skattetryk i 2014, samt stigning i andelen pensionsafkastskatten udgør i 2014 kan forklares ved en omlægning af kapitalpensioner til aldersopsparing </w:t>
      </w:r>
      <w:r w:rsidR="0025396C">
        <w:rPr>
          <w:b/>
          <w:bCs/>
          <w:lang w:val="da-DK"/>
        </w:rPr>
        <w:t>jf. DØS s. 174.</w:t>
      </w:r>
      <w:r w:rsidR="0025396C">
        <w:rPr>
          <w:lang w:val="da-DK"/>
        </w:rPr>
        <w:t xml:space="preserve"> Disse omlægninger var skattepligtige, hvilket giver en stigning i andel samt skattetryk i de år. </w:t>
      </w:r>
      <w:r w:rsidR="00494793">
        <w:rPr>
          <w:lang w:val="da-DK"/>
        </w:rPr>
        <w:t xml:space="preserve">Altså en ændring i basen. </w:t>
      </w:r>
    </w:p>
    <w:p w14:paraId="0DE02E4C" w14:textId="28AD823B" w:rsidR="007B309D" w:rsidRDefault="007B309D" w:rsidP="00944C57">
      <w:pPr>
        <w:spacing w:line="360" w:lineRule="auto"/>
        <w:rPr>
          <w:lang w:val="da-DK"/>
        </w:rPr>
      </w:pPr>
    </w:p>
    <w:p w14:paraId="2369E488" w14:textId="7E66637E" w:rsidR="00210D38" w:rsidRDefault="00210D38" w:rsidP="00944C57">
      <w:pPr>
        <w:spacing w:line="360" w:lineRule="auto"/>
        <w:rPr>
          <w:lang w:val="da-DK"/>
        </w:rPr>
      </w:pPr>
      <w:r>
        <w:rPr>
          <w:lang w:val="da-DK"/>
        </w:rPr>
        <w:t xml:space="preserve">I 2004 som følge af Forårspakken bliver indkomstskatten nedsat </w:t>
      </w:r>
      <w:r>
        <w:rPr>
          <w:b/>
          <w:bCs/>
          <w:lang w:val="da-DK"/>
        </w:rPr>
        <w:t>jf. DØS s. 26</w:t>
      </w:r>
      <w:r>
        <w:rPr>
          <w:lang w:val="da-DK"/>
        </w:rPr>
        <w:t xml:space="preserve">. Dette kan være med til at forklare det faldende skattetryk i starten af </w:t>
      </w:r>
      <w:r w:rsidR="00EF25FD">
        <w:rPr>
          <w:lang w:val="da-DK"/>
        </w:rPr>
        <w:t>perioden, 2005-2008/9. Yderligere kan det forklare den relative andel i forhold til resten af perioden, som de personlige indkomstskatter udgør i 2005. Men yderligere kan det forklare de store stigninger i de efterfølgende år i de personlige indkomstskatter. Det kan have været en form for kickstart for privatforbruget, og sammen med et opsving i udlandet have styrket konjunktur opsvinget og på kort sigt andelen, som de personlige indkomstskatter udgør</w:t>
      </w:r>
      <w:r w:rsidR="00AB10D7">
        <w:rPr>
          <w:lang w:val="da-DK"/>
        </w:rPr>
        <w:t xml:space="preserve"> jf. figur 1.3</w:t>
      </w:r>
      <w:r w:rsidR="00EF25FD">
        <w:rPr>
          <w:lang w:val="da-DK"/>
        </w:rPr>
        <w:t xml:space="preserve">. </w:t>
      </w:r>
    </w:p>
    <w:p w14:paraId="0C668F9E" w14:textId="77777777" w:rsidR="00EF25FD" w:rsidRPr="00210D38" w:rsidRDefault="00EF25FD" w:rsidP="00944C57">
      <w:pPr>
        <w:spacing w:line="360" w:lineRule="auto"/>
        <w:rPr>
          <w:lang w:val="da-DK"/>
        </w:rPr>
      </w:pPr>
    </w:p>
    <w:p w14:paraId="3EA1FD43" w14:textId="7498CD5E" w:rsidR="007B309D" w:rsidRDefault="007B309D" w:rsidP="00944C57">
      <w:pPr>
        <w:spacing w:line="360" w:lineRule="auto"/>
        <w:rPr>
          <w:lang w:val="da-DK"/>
        </w:rPr>
      </w:pPr>
      <w:r>
        <w:rPr>
          <w:lang w:val="da-DK"/>
        </w:rPr>
        <w:t>Som følge af den førnævnte recession</w:t>
      </w:r>
      <w:r w:rsidR="00DC3AAF">
        <w:rPr>
          <w:lang w:val="da-DK"/>
        </w:rPr>
        <w:t xml:space="preserve">, blev der lavet en del institutionelle ændringer, der skulle påvirke privatforbruget. Dette er 1) fordi privatforbruget udgør hoveddelen af både BNP, men også skatteindkomsten </w:t>
      </w:r>
      <w:r w:rsidR="00DC3AAF">
        <w:rPr>
          <w:b/>
          <w:bCs/>
          <w:lang w:val="da-DK"/>
        </w:rPr>
        <w:t xml:space="preserve">jf. STO s. 105 og figur 1.2. </w:t>
      </w:r>
      <w:r w:rsidR="00DC3AAF">
        <w:rPr>
          <w:lang w:val="da-DK"/>
        </w:rPr>
        <w:t>2) Det er anerkendt, at man på kort sigt skal man påvirke efterspørgslen for at få økonomien til at vokse</w:t>
      </w:r>
      <w:r w:rsidR="00DC3AAF">
        <w:rPr>
          <w:rStyle w:val="FootnoteReference"/>
          <w:lang w:val="da-DK"/>
        </w:rPr>
        <w:footnoteReference w:id="1"/>
      </w:r>
      <w:r w:rsidR="00DC3AAF">
        <w:rPr>
          <w:lang w:val="da-DK"/>
        </w:rPr>
        <w:t xml:space="preserve">. For at påvirke </w:t>
      </w:r>
      <w:r w:rsidR="00DC3AAF">
        <w:rPr>
          <w:lang w:val="da-DK"/>
        </w:rPr>
        <w:lastRenderedPageBreak/>
        <w:t xml:space="preserve">efterspørgslen stemte politikerne for Forårspakken 2.0, som gav større skattelettelser, og samtidig fjernede mellem skatten, der udgjorde 6% </w:t>
      </w:r>
      <w:r w:rsidR="00DC3AAF">
        <w:rPr>
          <w:b/>
          <w:bCs/>
          <w:lang w:val="da-DK"/>
        </w:rPr>
        <w:t>jf. DOS</w:t>
      </w:r>
      <w:r w:rsidR="00210D38">
        <w:rPr>
          <w:rStyle w:val="FootnoteReference"/>
          <w:b/>
          <w:bCs/>
          <w:lang w:val="da-DK"/>
        </w:rPr>
        <w:footnoteReference w:id="2"/>
      </w:r>
      <w:r w:rsidR="00DC3AAF">
        <w:rPr>
          <w:b/>
          <w:bCs/>
          <w:lang w:val="da-DK"/>
        </w:rPr>
        <w:t xml:space="preserve"> s. </w:t>
      </w:r>
      <w:r w:rsidR="00494793">
        <w:rPr>
          <w:b/>
          <w:bCs/>
          <w:lang w:val="da-DK"/>
        </w:rPr>
        <w:t>136-137</w:t>
      </w:r>
      <w:r w:rsidR="00DC3AAF">
        <w:rPr>
          <w:lang w:val="da-DK"/>
        </w:rPr>
        <w:t>.</w:t>
      </w:r>
      <w:r w:rsidR="00494793">
        <w:rPr>
          <w:b/>
          <w:bCs/>
          <w:lang w:val="da-DK"/>
        </w:rPr>
        <w:t xml:space="preserve"> </w:t>
      </w:r>
      <w:r w:rsidR="00494793">
        <w:rPr>
          <w:lang w:val="da-DK"/>
        </w:rPr>
        <w:t xml:space="preserve">Dette kan være med til at forklare den faldende andel de personlige skatter ud gør i perioden efter finanskrisen jf. figur 1.3. For yderligere at påvirke privatforbruget og derved også de personlige indkomstskatter udformede man i 2012 en skattereform, der hævede beskæftigelsesfradraget </w:t>
      </w:r>
      <w:r w:rsidR="00494793">
        <w:rPr>
          <w:b/>
          <w:bCs/>
          <w:lang w:val="da-DK"/>
        </w:rPr>
        <w:t>jf. DOS s. 137</w:t>
      </w:r>
      <w:r w:rsidR="00494793">
        <w:rPr>
          <w:lang w:val="da-DK"/>
        </w:rPr>
        <w:t>. Samlet set indebar aftalen skattelettelser for 15 milliarder kroner</w:t>
      </w:r>
      <w:r w:rsidR="00210D38">
        <w:rPr>
          <w:lang w:val="da-DK"/>
        </w:rPr>
        <w:t xml:space="preserve"> og en hævelse af topskattegrænsen frem mod 2022. En ændring i skattebasen.</w:t>
      </w:r>
    </w:p>
    <w:p w14:paraId="250B8038" w14:textId="77777777" w:rsidR="00BC2B60" w:rsidRPr="0025396C" w:rsidRDefault="00BC2B60" w:rsidP="00944C57">
      <w:pPr>
        <w:spacing w:line="360" w:lineRule="auto"/>
        <w:rPr>
          <w:lang w:val="da-DK"/>
        </w:rPr>
      </w:pPr>
    </w:p>
    <w:p w14:paraId="57861C6C" w14:textId="77777777" w:rsidR="00BC2B60" w:rsidRDefault="00BC2B60" w:rsidP="00944C57">
      <w:pPr>
        <w:spacing w:line="360" w:lineRule="auto"/>
        <w:rPr>
          <w:lang w:val="da-DK"/>
        </w:rPr>
      </w:pPr>
    </w:p>
    <w:p w14:paraId="663FA52A" w14:textId="623DF60D" w:rsidR="00BC2B60" w:rsidRPr="00BC2B60" w:rsidRDefault="00BC2B60" w:rsidP="00944C57">
      <w:pPr>
        <w:spacing w:line="360" w:lineRule="auto"/>
        <w:rPr>
          <w:b/>
          <w:bCs/>
          <w:lang w:val="da-DK"/>
        </w:rPr>
      </w:pPr>
      <w:r>
        <w:rPr>
          <w:b/>
          <w:bCs/>
          <w:lang w:val="da-DK"/>
        </w:rPr>
        <w:t>Bilag</w:t>
      </w:r>
    </w:p>
    <w:p w14:paraId="28C82932" w14:textId="77777777" w:rsidR="00BC2B60" w:rsidRDefault="00BC2B60" w:rsidP="00944C57">
      <w:pPr>
        <w:spacing w:line="360" w:lineRule="auto"/>
        <w:rPr>
          <w:lang w:val="da-DK"/>
        </w:rPr>
      </w:pPr>
    </w:p>
    <w:p w14:paraId="0501C163" w14:textId="32B01952" w:rsidR="0006284D" w:rsidRDefault="00BC2B60" w:rsidP="00944C57">
      <w:pPr>
        <w:spacing w:line="360" w:lineRule="auto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B316F88" wp14:editId="6876DCE2">
            <wp:extent cx="5731510" cy="62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47" cy="6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129" w14:textId="22D647A1" w:rsidR="00BC2B60" w:rsidRDefault="00BC2B60" w:rsidP="00944C57">
      <w:pPr>
        <w:spacing w:line="360" w:lineRule="auto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0493E89" wp14:editId="30570546">
            <wp:extent cx="4648200" cy="21844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BEBD" w14:textId="11B07964" w:rsidR="00BC2B60" w:rsidRDefault="00BC2B60" w:rsidP="00944C57">
      <w:pPr>
        <w:spacing w:line="360" w:lineRule="auto"/>
        <w:rPr>
          <w:lang w:val="da-DK"/>
        </w:rPr>
      </w:pPr>
    </w:p>
    <w:p w14:paraId="3A2D9957" w14:textId="0260784C" w:rsidR="00BC2B60" w:rsidRDefault="00BC2B60" w:rsidP="00944C57">
      <w:pPr>
        <w:spacing w:line="360" w:lineRule="auto"/>
        <w:rPr>
          <w:lang w:val="da-DK"/>
        </w:rPr>
      </w:pPr>
    </w:p>
    <w:p w14:paraId="49F3BF58" w14:textId="77777777" w:rsidR="00BC2B60" w:rsidRDefault="00BC2B60" w:rsidP="00944C57">
      <w:pPr>
        <w:spacing w:line="360" w:lineRule="auto"/>
        <w:rPr>
          <w:lang w:val="da-DK"/>
        </w:rPr>
      </w:pPr>
    </w:p>
    <w:p w14:paraId="0E41BDE6" w14:textId="3820AF6F" w:rsidR="00BC2B60" w:rsidRPr="008A2F5D" w:rsidRDefault="00BC2B60" w:rsidP="00944C57">
      <w:pPr>
        <w:spacing w:line="360" w:lineRule="auto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8F702F3" wp14:editId="7872C304">
            <wp:extent cx="573151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31" cy="4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60" w:rsidRPr="008A2F5D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123E3" w14:textId="77777777" w:rsidR="0055623B" w:rsidRDefault="0055623B" w:rsidP="00DC3AAF">
      <w:r>
        <w:separator/>
      </w:r>
    </w:p>
  </w:endnote>
  <w:endnote w:type="continuationSeparator" w:id="0">
    <w:p w14:paraId="13D5D9CA" w14:textId="77777777" w:rsidR="0055623B" w:rsidRDefault="0055623B" w:rsidP="00DC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92370671"/>
      <w:docPartObj>
        <w:docPartGallery w:val="Page Numbers (Bottom of Page)"/>
        <w:docPartUnique/>
      </w:docPartObj>
    </w:sdtPr>
    <w:sdtContent>
      <w:p w14:paraId="77F1F1A6" w14:textId="2E45D12B" w:rsidR="00376955" w:rsidRDefault="00376955" w:rsidP="006410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C19806" w14:textId="77777777" w:rsidR="00376955" w:rsidRDefault="00376955" w:rsidP="003769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83106150"/>
      <w:docPartObj>
        <w:docPartGallery w:val="Page Numbers (Bottom of Page)"/>
        <w:docPartUnique/>
      </w:docPartObj>
    </w:sdtPr>
    <w:sdtContent>
      <w:p w14:paraId="2C6208C8" w14:textId="70B4A09F" w:rsidR="00376955" w:rsidRDefault="00376955" w:rsidP="006410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9C8333" w14:textId="77777777" w:rsidR="00376955" w:rsidRDefault="00376955" w:rsidP="003769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2D81F" w14:textId="77777777" w:rsidR="0055623B" w:rsidRDefault="0055623B" w:rsidP="00DC3AAF">
      <w:r>
        <w:separator/>
      </w:r>
    </w:p>
  </w:footnote>
  <w:footnote w:type="continuationSeparator" w:id="0">
    <w:p w14:paraId="0E7F021A" w14:textId="77777777" w:rsidR="0055623B" w:rsidRDefault="0055623B" w:rsidP="00DC3AAF">
      <w:r>
        <w:continuationSeparator/>
      </w:r>
    </w:p>
  </w:footnote>
  <w:footnote w:id="1">
    <w:p w14:paraId="2B49BA17" w14:textId="2E34BD36" w:rsidR="00DC3AAF" w:rsidRPr="00DC3AAF" w:rsidRDefault="00DC3AA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DC3AAF">
        <w:rPr>
          <w:lang w:val="da-DK"/>
        </w:rPr>
        <w:t xml:space="preserve"> </w:t>
      </w:r>
      <w:r>
        <w:rPr>
          <w:lang w:val="da-DK"/>
        </w:rPr>
        <w:t>Vores forelæser i ØP(Jesper Lin</w:t>
      </w:r>
      <w:r w:rsidR="00494793">
        <w:rPr>
          <w:lang w:val="da-DK"/>
        </w:rPr>
        <w:t>aa</w:t>
      </w:r>
      <w:r>
        <w:rPr>
          <w:lang w:val="da-DK"/>
        </w:rPr>
        <w:t xml:space="preserve">) har gennemgået denne teori med os. </w:t>
      </w:r>
    </w:p>
  </w:footnote>
  <w:footnote w:id="2">
    <w:p w14:paraId="0D85260E" w14:textId="44205D71" w:rsidR="00210D38" w:rsidRPr="00210D38" w:rsidRDefault="00210D3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a-DK"/>
        </w:rPr>
        <w:t>Den offentlige sektor, 8. udgave, 2016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68DB0" w14:textId="7F16E156" w:rsidR="00376955" w:rsidRPr="00376955" w:rsidRDefault="00376955">
    <w:pPr>
      <w:pStyle w:val="Header"/>
      <w:rPr>
        <w:lang w:val="da-DK"/>
      </w:rPr>
    </w:pPr>
    <w:r>
      <w:rPr>
        <w:lang w:val="da-DK"/>
      </w:rPr>
      <w:t xml:space="preserve">Jeppe </w:t>
    </w:r>
    <w:proofErr w:type="spellStart"/>
    <w:r>
      <w:rPr>
        <w:lang w:val="da-DK"/>
      </w:rPr>
      <w:t>Vanderhaegen</w:t>
    </w:r>
    <w:proofErr w:type="spellEnd"/>
    <w:r>
      <w:rPr>
        <w:lang w:val="da-DK"/>
      </w:rPr>
      <w:tab/>
      <w:t>Samfundsbeskrivelse B</w:t>
    </w:r>
    <w:r>
      <w:rPr>
        <w:lang w:val="da-DK"/>
      </w:rPr>
      <w:tab/>
      <w:t>Københavns Universitet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569E6"/>
    <w:multiLevelType w:val="hybridMultilevel"/>
    <w:tmpl w:val="43DCC32E"/>
    <w:lvl w:ilvl="0" w:tplc="0224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07"/>
    <w:rsid w:val="00024982"/>
    <w:rsid w:val="00052AEC"/>
    <w:rsid w:val="0006284D"/>
    <w:rsid w:val="000D2783"/>
    <w:rsid w:val="001179E7"/>
    <w:rsid w:val="001A433C"/>
    <w:rsid w:val="00210D38"/>
    <w:rsid w:val="002246B8"/>
    <w:rsid w:val="0025396C"/>
    <w:rsid w:val="00372AD1"/>
    <w:rsid w:val="00376955"/>
    <w:rsid w:val="00494793"/>
    <w:rsid w:val="004C7DE5"/>
    <w:rsid w:val="004E6929"/>
    <w:rsid w:val="004E7494"/>
    <w:rsid w:val="00513615"/>
    <w:rsid w:val="00514198"/>
    <w:rsid w:val="0055623B"/>
    <w:rsid w:val="005A2502"/>
    <w:rsid w:val="005E035A"/>
    <w:rsid w:val="005E3B27"/>
    <w:rsid w:val="0064054F"/>
    <w:rsid w:val="00655655"/>
    <w:rsid w:val="00683C6D"/>
    <w:rsid w:val="006B227B"/>
    <w:rsid w:val="0070216C"/>
    <w:rsid w:val="00716B16"/>
    <w:rsid w:val="00717A07"/>
    <w:rsid w:val="00785A21"/>
    <w:rsid w:val="007B309D"/>
    <w:rsid w:val="00845C18"/>
    <w:rsid w:val="008A2F5D"/>
    <w:rsid w:val="008C1062"/>
    <w:rsid w:val="008E698A"/>
    <w:rsid w:val="00935DEF"/>
    <w:rsid w:val="00944C57"/>
    <w:rsid w:val="00946607"/>
    <w:rsid w:val="00947474"/>
    <w:rsid w:val="0095106B"/>
    <w:rsid w:val="00960574"/>
    <w:rsid w:val="00991FCD"/>
    <w:rsid w:val="009C78AA"/>
    <w:rsid w:val="009F3539"/>
    <w:rsid w:val="00A15896"/>
    <w:rsid w:val="00AB10D7"/>
    <w:rsid w:val="00B603BE"/>
    <w:rsid w:val="00BC2B60"/>
    <w:rsid w:val="00C201AF"/>
    <w:rsid w:val="00C673B5"/>
    <w:rsid w:val="00D01710"/>
    <w:rsid w:val="00DB52D9"/>
    <w:rsid w:val="00DC387B"/>
    <w:rsid w:val="00DC3AAF"/>
    <w:rsid w:val="00E519CC"/>
    <w:rsid w:val="00E87A74"/>
    <w:rsid w:val="00EF25FD"/>
    <w:rsid w:val="00EF4B2B"/>
    <w:rsid w:val="00FB6294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C37C"/>
  <w15:chartTrackingRefBased/>
  <w15:docId w15:val="{381B1A69-6CAC-7B47-8259-FF2FCCC8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783"/>
    <w:rPr>
      <w:color w:val="808080"/>
    </w:rPr>
  </w:style>
  <w:style w:type="paragraph" w:styleId="ListParagraph">
    <w:name w:val="List Paragraph"/>
    <w:basedOn w:val="Normal"/>
    <w:uiPriority w:val="34"/>
    <w:qFormat/>
    <w:rsid w:val="005E3B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3A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A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3AA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769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955"/>
  </w:style>
  <w:style w:type="paragraph" w:styleId="Footer">
    <w:name w:val="footer"/>
    <w:basedOn w:val="Normal"/>
    <w:link w:val="FooterChar"/>
    <w:uiPriority w:val="99"/>
    <w:unhideWhenUsed/>
    <w:rsid w:val="003769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955"/>
  </w:style>
  <w:style w:type="character" w:styleId="PageNumber">
    <w:name w:val="page number"/>
    <w:basedOn w:val="DefaultParagraphFont"/>
    <w:uiPriority w:val="99"/>
    <w:semiHidden/>
    <w:unhideWhenUsed/>
    <w:rsid w:val="0037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cuments/University/2.%20Sem%20/Samf%20B/Opgaver/HO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cuments/University/2.%20Sem%20/Samf%20B/Opgaver/HO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Documents/University/2.%20Sem%20/Samf%20B/Opgaver/HO1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1.1</a:t>
            </a:r>
            <a:r>
              <a:rPr lang="en-GB" baseline="0"/>
              <a:t>. Udvikling i skattetryk siden 2005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60839746938795E-2"/>
          <c:y val="0.14835999999999999"/>
          <c:w val="0.83227832050612238"/>
          <c:h val="0.62213133858267711"/>
        </c:manualLayout>
      </c:layout>
      <c:lineChart>
        <c:grouping val="standard"/>
        <c:varyColors val="0"/>
        <c:ser>
          <c:idx val="0"/>
          <c:order val="0"/>
          <c:tx>
            <c:strRef>
              <c:f>SKAT!$A$94</c:f>
              <c:strCache>
                <c:ptCount val="1"/>
                <c:pt idx="0">
                  <c:v> Tradionelt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SKAT!$B$94:$P$94</c:f>
              <c:numCache>
                <c:formatCode>0.0%</c:formatCode>
                <c:ptCount val="15"/>
                <c:pt idx="0">
                  <c:v>0.48172481715006304</c:v>
                </c:pt>
                <c:pt idx="1">
                  <c:v>0.46623144682874634</c:v>
                </c:pt>
                <c:pt idx="2">
                  <c:v>0.4658317385553255</c:v>
                </c:pt>
                <c:pt idx="3">
                  <c:v>0.44900564973633084</c:v>
                </c:pt>
                <c:pt idx="4">
                  <c:v>0.4514109807792811</c:v>
                </c:pt>
                <c:pt idx="5">
                  <c:v>0.45208659174995858</c:v>
                </c:pt>
                <c:pt idx="6">
                  <c:v>0.45256045427473063</c:v>
                </c:pt>
                <c:pt idx="7">
                  <c:v>0.45958611926121373</c:v>
                </c:pt>
                <c:pt idx="8">
                  <c:v>0.47068948955796236</c:v>
                </c:pt>
                <c:pt idx="9">
                  <c:v>0.49815039117706439</c:v>
                </c:pt>
                <c:pt idx="10">
                  <c:v>0.47326559271263013</c:v>
                </c:pt>
                <c:pt idx="11">
                  <c:v>0.46183761599772272</c:v>
                </c:pt>
                <c:pt idx="12">
                  <c:v>0.46086654217966255</c:v>
                </c:pt>
                <c:pt idx="13">
                  <c:v>0.44727017261270857</c:v>
                </c:pt>
                <c:pt idx="14">
                  <c:v>0.46647987237687366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1D-BA42-A2A2-7BEECA29437E}"/>
            </c:ext>
          </c:extLst>
        </c:ser>
        <c:ser>
          <c:idx val="1"/>
          <c:order val="1"/>
          <c:tx>
            <c:strRef>
              <c:f>SKAT!$A$95</c:f>
              <c:strCache>
                <c:ptCount val="1"/>
                <c:pt idx="0">
                  <c:v>Korrigeret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SKAT!$B$95:$P$95</c:f>
              <c:numCache>
                <c:formatCode>0.0%</c:formatCode>
                <c:ptCount val="15"/>
                <c:pt idx="0">
                  <c:v>0.48813489627025258</c:v>
                </c:pt>
                <c:pt idx="1">
                  <c:v>0.46985302692752134</c:v>
                </c:pt>
                <c:pt idx="2">
                  <c:v>0.47267503352540174</c:v>
                </c:pt>
                <c:pt idx="3">
                  <c:v>0.45175176887088825</c:v>
                </c:pt>
                <c:pt idx="4">
                  <c:v>0.45610525494374482</c:v>
                </c:pt>
                <c:pt idx="5">
                  <c:v>0.45381876653281511</c:v>
                </c:pt>
                <c:pt idx="6">
                  <c:v>0.45170834972632706</c:v>
                </c:pt>
                <c:pt idx="7">
                  <c:v>0.4583868148664339</c:v>
                </c:pt>
                <c:pt idx="8">
                  <c:v>0.4653370404980593</c:v>
                </c:pt>
                <c:pt idx="9">
                  <c:v>0.48857349253849564</c:v>
                </c:pt>
                <c:pt idx="10">
                  <c:v>0.46647982766890783</c:v>
                </c:pt>
                <c:pt idx="11">
                  <c:v>0.45686065689175981</c:v>
                </c:pt>
                <c:pt idx="12">
                  <c:v>0.4570657889976466</c:v>
                </c:pt>
                <c:pt idx="13">
                  <c:v>0.44223536924532864</c:v>
                </c:pt>
                <c:pt idx="14">
                  <c:v>0.4595558322339095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1D-BA42-A2A2-7BEECA2943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7011600"/>
        <c:axId val="1919040064"/>
      </c:lineChart>
      <c:lineChart>
        <c:grouping val="standard"/>
        <c:varyColors val="0"/>
        <c:ser>
          <c:idx val="2"/>
          <c:order val="2"/>
          <c:tx>
            <c:strRef>
              <c:f>SKAT!$A$96</c:f>
              <c:strCache>
                <c:ptCount val="1"/>
                <c:pt idx="0">
                  <c:v>Modificeret(H. Akse)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SKAT!$B$96:$P$96</c:f>
              <c:numCache>
                <c:formatCode>0.0%</c:formatCode>
                <c:ptCount val="15"/>
                <c:pt idx="0">
                  <c:v>0.3237341814610909</c:v>
                </c:pt>
                <c:pt idx="1">
                  <c:v>0.32118516796828428</c:v>
                </c:pt>
                <c:pt idx="2">
                  <c:v>0.32754813477386546</c:v>
                </c:pt>
                <c:pt idx="3">
                  <c:v>0.31877820713088556</c:v>
                </c:pt>
                <c:pt idx="4">
                  <c:v>0.28749231390256613</c:v>
                </c:pt>
                <c:pt idx="5">
                  <c:v>0.28277904287611666</c:v>
                </c:pt>
                <c:pt idx="6">
                  <c:v>0.28215494729742585</c:v>
                </c:pt>
                <c:pt idx="7">
                  <c:v>0.28288309531052791</c:v>
                </c:pt>
                <c:pt idx="8">
                  <c:v>0.28778941091123711</c:v>
                </c:pt>
                <c:pt idx="9">
                  <c:v>0.31291140995081768</c:v>
                </c:pt>
                <c:pt idx="10">
                  <c:v>0.28521947722750424</c:v>
                </c:pt>
                <c:pt idx="11">
                  <c:v>0.28534627518230565</c:v>
                </c:pt>
                <c:pt idx="12">
                  <c:v>0.29418614747589134</c:v>
                </c:pt>
                <c:pt idx="13">
                  <c:v>0.28502884931361405</c:v>
                </c:pt>
                <c:pt idx="14">
                  <c:v>0.30507627898460077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1D-BA42-A2A2-7BEECA2943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4240032"/>
        <c:axId val="1914439632"/>
      </c:lineChart>
      <c:catAx>
        <c:axId val="189701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040064"/>
        <c:crosses val="autoZero"/>
        <c:auto val="1"/>
        <c:lblAlgn val="ctr"/>
        <c:lblOffset val="100"/>
        <c:tickMarkSkip val="1"/>
        <c:noMultiLvlLbl val="0"/>
      </c:catAx>
      <c:valAx>
        <c:axId val="1919040064"/>
        <c:scaling>
          <c:orientation val="minMax"/>
          <c:min val="0.42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011600"/>
        <c:crosses val="autoZero"/>
        <c:crossBetween val="midCat"/>
      </c:valAx>
      <c:valAx>
        <c:axId val="1914439632"/>
        <c:scaling>
          <c:orientation val="minMax"/>
          <c:max val="0.35000000000000003"/>
          <c:min val="0.25"/>
        </c:scaling>
        <c:delete val="0"/>
        <c:axPos val="r"/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240032"/>
        <c:crosses val="max"/>
        <c:crossBetween val="between"/>
      </c:valAx>
      <c:catAx>
        <c:axId val="19142400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144396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088742844152354"/>
          <c:y val="0.69919721662699152"/>
          <c:w val="0.61212450747447056"/>
          <c:h val="6.75004724409448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1.2</a:t>
            </a:r>
            <a:r>
              <a:rPr lang="en-GB" baseline="0"/>
              <a:t>. Udvikling i skatter- og afgiftsgrupperinger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259571997071611E-2"/>
          <c:y val="0.14156488549618321"/>
          <c:w val="0.87718580031947968"/>
          <c:h val="0.4833715103793844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SKAT!$A$145</c:f>
              <c:strCache>
                <c:ptCount val="1"/>
                <c:pt idx="0">
                  <c:v>Indkomstskatter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SKAT!$B$145:$P$145</c:f>
              <c:numCache>
                <c:formatCode>0.00%</c:formatCode>
                <c:ptCount val="15"/>
                <c:pt idx="0">
                  <c:v>0.61975607407786304</c:v>
                </c:pt>
                <c:pt idx="1">
                  <c:v>0.60938439361240049</c:v>
                </c:pt>
                <c:pt idx="2">
                  <c:v>0.60105112614186174</c:v>
                </c:pt>
                <c:pt idx="3">
                  <c:v>0.6075658829154913</c:v>
                </c:pt>
                <c:pt idx="4">
                  <c:v>0.61344730794931168</c:v>
                </c:pt>
                <c:pt idx="5">
                  <c:v>0.61683006041470645</c:v>
                </c:pt>
                <c:pt idx="6">
                  <c:v>0.61389838119548024</c:v>
                </c:pt>
                <c:pt idx="7">
                  <c:v>0.62087465696564959</c:v>
                </c:pt>
                <c:pt idx="8">
                  <c:v>0.62774751659907979</c:v>
                </c:pt>
                <c:pt idx="9">
                  <c:v>0.65302697398514531</c:v>
                </c:pt>
                <c:pt idx="10">
                  <c:v>0.63264272511349895</c:v>
                </c:pt>
                <c:pt idx="11">
                  <c:v>0.62892431267585425</c:v>
                </c:pt>
                <c:pt idx="12">
                  <c:v>0.63434471996010267</c:v>
                </c:pt>
                <c:pt idx="13">
                  <c:v>0.62096854475630059</c:v>
                </c:pt>
                <c:pt idx="14">
                  <c:v>0.64696852842999075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52-B041-A259-EAC5B220BD02}"/>
            </c:ext>
          </c:extLst>
        </c:ser>
        <c:ser>
          <c:idx val="1"/>
          <c:order val="1"/>
          <c:tx>
            <c:strRef>
              <c:f>SKAT!$A$146</c:f>
              <c:strCache>
                <c:ptCount val="1"/>
                <c:pt idx="0">
                  <c:v>Skat af formue, ejendom og besiddelse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SKAT!$B$146:$P$146</c:f>
              <c:numCache>
                <c:formatCode>0.00%</c:formatCode>
                <c:ptCount val="15"/>
                <c:pt idx="0">
                  <c:v>3.9189078819284774E-2</c:v>
                </c:pt>
                <c:pt idx="1">
                  <c:v>4.0325444452033683E-2</c:v>
                </c:pt>
                <c:pt idx="2">
                  <c:v>4.5527455549054539E-2</c:v>
                </c:pt>
                <c:pt idx="3">
                  <c:v>5.0025822130632731E-2</c:v>
                </c:pt>
                <c:pt idx="4">
                  <c:v>5.2296064118873921E-2</c:v>
                </c:pt>
                <c:pt idx="5">
                  <c:v>5.1854212705997875E-2</c:v>
                </c:pt>
                <c:pt idx="6">
                  <c:v>5.3161393478436111E-2</c:v>
                </c:pt>
                <c:pt idx="7">
                  <c:v>5.0253864066310272E-2</c:v>
                </c:pt>
                <c:pt idx="8">
                  <c:v>5.0847293283938277E-2</c:v>
                </c:pt>
                <c:pt idx="9">
                  <c:v>4.7323317883709234E-2</c:v>
                </c:pt>
                <c:pt idx="10">
                  <c:v>5.1213799818697857E-2</c:v>
                </c:pt>
                <c:pt idx="11">
                  <c:v>4.9826465268506759E-2</c:v>
                </c:pt>
                <c:pt idx="12">
                  <c:v>4.796926456845934E-2</c:v>
                </c:pt>
                <c:pt idx="13">
                  <c:v>4.9871375835191273E-2</c:v>
                </c:pt>
                <c:pt idx="14">
                  <c:v>4.7334616415286544E-2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52-B041-A259-EAC5B220BD02}"/>
            </c:ext>
          </c:extLst>
        </c:ser>
        <c:ser>
          <c:idx val="2"/>
          <c:order val="2"/>
          <c:tx>
            <c:strRef>
              <c:f>SKAT!$A$147</c:f>
              <c:strCache>
                <c:ptCount val="1"/>
                <c:pt idx="0">
                  <c:v>Afgifter af varer og tjenester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SKAT!$B$147:$P$147</c:f>
              <c:numCache>
                <c:formatCode>0.00%</c:formatCode>
                <c:ptCount val="15"/>
                <c:pt idx="0">
                  <c:v>0.33462649111491916</c:v>
                </c:pt>
                <c:pt idx="1">
                  <c:v>0.34370422938009176</c:v>
                </c:pt>
                <c:pt idx="2">
                  <c:v>0.3465572839739558</c:v>
                </c:pt>
                <c:pt idx="3">
                  <c:v>0.33548558511029813</c:v>
                </c:pt>
                <c:pt idx="4">
                  <c:v>0.32724009273003879</c:v>
                </c:pt>
                <c:pt idx="5">
                  <c:v>0.32366154529911934</c:v>
                </c:pt>
                <c:pt idx="6">
                  <c:v>0.32463153507665271</c:v>
                </c:pt>
                <c:pt idx="7">
                  <c:v>0.32006498250090099</c:v>
                </c:pt>
                <c:pt idx="8">
                  <c:v>0.3101161738840652</c:v>
                </c:pt>
                <c:pt idx="9">
                  <c:v>0.28908890408756222</c:v>
                </c:pt>
                <c:pt idx="10">
                  <c:v>0.30525568640825668</c:v>
                </c:pt>
                <c:pt idx="11">
                  <c:v>0.31244094301858177</c:v>
                </c:pt>
                <c:pt idx="12">
                  <c:v>0.30957999046913282</c:v>
                </c:pt>
                <c:pt idx="13">
                  <c:v>0.31947760892395977</c:v>
                </c:pt>
                <c:pt idx="14">
                  <c:v>0.29664215187392906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52-B041-A259-EAC5B220BD02}"/>
            </c:ext>
          </c:extLst>
        </c:ser>
        <c:ser>
          <c:idx val="3"/>
          <c:order val="3"/>
          <c:tx>
            <c:strRef>
              <c:f>SKAT!$A$148</c:f>
              <c:strCache>
                <c:ptCount val="1"/>
                <c:pt idx="0">
                  <c:v>AM-Bidrag, Andre Sociale Ordinger og Andre Produktskatter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SKAT!$B$148:$P$148</c:f>
              <c:numCache>
                <c:formatCode>0.00%</c:formatCode>
                <c:ptCount val="15"/>
                <c:pt idx="0">
                  <c:v>6.4283559879330203E-3</c:v>
                </c:pt>
                <c:pt idx="1">
                  <c:v>6.5859325554739499E-3</c:v>
                </c:pt>
                <c:pt idx="2">
                  <c:v>6.8641343351278118E-3</c:v>
                </c:pt>
                <c:pt idx="3">
                  <c:v>6.9227098435777814E-3</c:v>
                </c:pt>
                <c:pt idx="4">
                  <c:v>7.0165352017755641E-3</c:v>
                </c:pt>
                <c:pt idx="5">
                  <c:v>7.6541815801762312E-3</c:v>
                </c:pt>
                <c:pt idx="6">
                  <c:v>8.3086902494310527E-3</c:v>
                </c:pt>
                <c:pt idx="7">
                  <c:v>8.8064964671391091E-3</c:v>
                </c:pt>
                <c:pt idx="8">
                  <c:v>1.1289016232916785E-2</c:v>
                </c:pt>
                <c:pt idx="9">
                  <c:v>1.056080404358317E-2</c:v>
                </c:pt>
                <c:pt idx="10">
                  <c:v>1.0887788659546486E-2</c:v>
                </c:pt>
                <c:pt idx="11">
                  <c:v>8.8082790370572171E-3</c:v>
                </c:pt>
                <c:pt idx="12">
                  <c:v>8.106025002305204E-3</c:v>
                </c:pt>
                <c:pt idx="13">
                  <c:v>9.6824704845484191E-3</c:v>
                </c:pt>
                <c:pt idx="14">
                  <c:v>9.0547032807937293E-3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52-B041-A259-EAC5B220B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66975760"/>
        <c:axId val="1513225120"/>
      </c:barChart>
      <c:catAx>
        <c:axId val="156697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225120"/>
        <c:crosses val="autoZero"/>
        <c:auto val="1"/>
        <c:lblAlgn val="ctr"/>
        <c:lblOffset val="100"/>
        <c:noMultiLvlLbl val="0"/>
      </c:catAx>
      <c:valAx>
        <c:axId val="1513225120"/>
        <c:scaling>
          <c:orientation val="minMax"/>
          <c:max val="1"/>
          <c:min val="0.55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97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968662397270965"/>
          <c:y val="0.72875349775492937"/>
          <c:w val="0.60031335732354718"/>
          <c:h val="0.271246502245070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1.3.</a:t>
            </a:r>
            <a:r>
              <a:rPr lang="en-GB" baseline="0"/>
              <a:t> Udvikling i indkomstskatter siden 2005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89244971941773"/>
          <c:y val="0.120814332247557"/>
          <c:w val="0.859080491880855"/>
          <c:h val="0.6238854548718869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SKAT!$A$135</c:f>
              <c:strCache>
                <c:ptCount val="1"/>
                <c:pt idx="0">
                  <c:v>Personlige Indkomstskatter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SKAT!$B$135:$P$135</c:f>
              <c:numCache>
                <c:formatCode>0.00%</c:formatCode>
                <c:ptCount val="15"/>
                <c:pt idx="0">
                  <c:v>0.80604072853695352</c:v>
                </c:pt>
                <c:pt idx="1">
                  <c:v>0.84367639946320461</c:v>
                </c:pt>
                <c:pt idx="2">
                  <c:v>0.87792380519756119</c:v>
                </c:pt>
                <c:pt idx="3">
                  <c:v>0.88689715790204116</c:v>
                </c:pt>
                <c:pt idx="4">
                  <c:v>0.91261853655896241</c:v>
                </c:pt>
                <c:pt idx="5">
                  <c:v>0.84634928237794493</c:v>
                </c:pt>
                <c:pt idx="6">
                  <c:v>0.8473367364812725</c:v>
                </c:pt>
                <c:pt idx="7">
                  <c:v>0.82796192226869592</c:v>
                </c:pt>
                <c:pt idx="8">
                  <c:v>0.87012830551974907</c:v>
                </c:pt>
                <c:pt idx="9">
                  <c:v>0.8301995042978878</c:v>
                </c:pt>
                <c:pt idx="10">
                  <c:v>0.86788197717862792</c:v>
                </c:pt>
                <c:pt idx="11">
                  <c:v>0.84607703496183762</c:v>
                </c:pt>
                <c:pt idx="12">
                  <c:v>0.83849347116254469</c:v>
                </c:pt>
                <c:pt idx="13">
                  <c:v>0.87968177254836843</c:v>
                </c:pt>
                <c:pt idx="14">
                  <c:v>0.8089047553578832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A6-8144-A656-D12A6B891B1A}"/>
            </c:ext>
          </c:extLst>
        </c:ser>
        <c:ser>
          <c:idx val="1"/>
          <c:order val="1"/>
          <c:tx>
            <c:strRef>
              <c:f>SKAT!$A$136</c:f>
              <c:strCache>
                <c:ptCount val="1"/>
                <c:pt idx="0">
                  <c:v>Selskabsskat mv.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SKAT!$B$136:$P$136</c:f>
              <c:numCache>
                <c:formatCode>0.00%</c:formatCode>
                <c:ptCount val="15"/>
                <c:pt idx="0">
                  <c:v>0.11530404295992169</c:v>
                </c:pt>
                <c:pt idx="1">
                  <c:v>0.13006310015030717</c:v>
                </c:pt>
                <c:pt idx="2">
                  <c:v>0.11270667632867357</c:v>
                </c:pt>
                <c:pt idx="3">
                  <c:v>9.3701225340615743E-2</c:v>
                </c:pt>
                <c:pt idx="4">
                  <c:v>6.8961153374181516E-2</c:v>
                </c:pt>
                <c:pt idx="5">
                  <c:v>8.1302300926915858E-2</c:v>
                </c:pt>
                <c:pt idx="6">
                  <c:v>7.8513040337694476E-2</c:v>
                </c:pt>
                <c:pt idx="7">
                  <c:v>9.1495145842648382E-2</c:v>
                </c:pt>
                <c:pt idx="8">
                  <c:v>9.4823632001672722E-2</c:v>
                </c:pt>
                <c:pt idx="9">
                  <c:v>8.7439803055021609E-2</c:v>
                </c:pt>
                <c:pt idx="10">
                  <c:v>9.4671279774227318E-2</c:v>
                </c:pt>
                <c:pt idx="11">
                  <c:v>9.839916044057806E-2</c:v>
                </c:pt>
                <c:pt idx="12">
                  <c:v>0.11128557237083558</c:v>
                </c:pt>
                <c:pt idx="13">
                  <c:v>9.832750044630556E-2</c:v>
                </c:pt>
                <c:pt idx="14">
                  <c:v>0.10117277283325915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A6-8144-A656-D12A6B891B1A}"/>
            </c:ext>
          </c:extLst>
        </c:ser>
        <c:ser>
          <c:idx val="2"/>
          <c:order val="2"/>
          <c:tx>
            <c:strRef>
              <c:f>SKAT!$A$137</c:f>
              <c:strCache>
                <c:ptCount val="1"/>
                <c:pt idx="0">
                  <c:v>Pensionsafkastskat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SKAT!$B$1:$P$1</c:f>
              <c:strCache>
                <c:ptCount val="1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</c:strCache>
            </c:strRef>
          </c:cat>
          <c:val>
            <c:numRef>
              <c:f>SKAT!$B$137:$P$137</c:f>
              <c:numCache>
                <c:formatCode>0.00%</c:formatCode>
                <c:ptCount val="15"/>
                <c:pt idx="0">
                  <c:v>7.8655228503124813E-2</c:v>
                </c:pt>
                <c:pt idx="1">
                  <c:v>2.626050038648834E-2</c:v>
                </c:pt>
                <c:pt idx="2">
                  <c:v>9.3695184737652981E-3</c:v>
                </c:pt>
                <c:pt idx="3">
                  <c:v>1.9401616757343143E-2</c:v>
                </c:pt>
                <c:pt idx="4">
                  <c:v>1.8420310066856044E-2</c:v>
                </c:pt>
                <c:pt idx="5">
                  <c:v>7.2348416695139264E-2</c:v>
                </c:pt>
                <c:pt idx="6">
                  <c:v>7.4150223181033065E-2</c:v>
                </c:pt>
                <c:pt idx="7">
                  <c:v>8.0542931888655814E-2</c:v>
                </c:pt>
                <c:pt idx="8">
                  <c:v>3.5048062478578237E-2</c:v>
                </c:pt>
                <c:pt idx="9">
                  <c:v>8.2360692647090616E-2</c:v>
                </c:pt>
                <c:pt idx="10">
                  <c:v>3.7446743047144848E-2</c:v>
                </c:pt>
                <c:pt idx="11">
                  <c:v>5.552380459758445E-2</c:v>
                </c:pt>
                <c:pt idx="12">
                  <c:v>5.0220956466619671E-2</c:v>
                </c:pt>
                <c:pt idx="13">
                  <c:v>2.1990727005325918E-2</c:v>
                </c:pt>
                <c:pt idx="14">
                  <c:v>8.9922471808857707E-2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A6-8144-A656-D12A6B891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8840224"/>
        <c:axId val="1508841872"/>
      </c:barChart>
      <c:catAx>
        <c:axId val="150884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841872"/>
        <c:crosses val="autoZero"/>
        <c:auto val="1"/>
        <c:lblAlgn val="ctr"/>
        <c:lblOffset val="100"/>
        <c:noMultiLvlLbl val="0"/>
      </c:catAx>
      <c:valAx>
        <c:axId val="1508841872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84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15386192868339"/>
          <c:y val="0.84731231885916525"/>
          <c:w val="0.76769227614263313"/>
          <c:h val="5.49678114339942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0.0045</cdr:x>
      <cdr:y>0.86831</cdr:y>
    </cdr:from>
    <cdr:to>
      <cdr:x>0.65879</cdr:x>
      <cdr:y>0.992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74FCDDD-35FD-0748-9C58-7E1634C9D47C}"/>
            </a:ext>
          </a:extLst>
        </cdr:cNvPr>
        <cdr:cNvSpPr txBox="1"/>
      </cdr:nvSpPr>
      <cdr:spPr>
        <a:xfrm xmlns:a="http://schemas.openxmlformats.org/drawingml/2006/main">
          <a:off x="21774" y="2679700"/>
          <a:ext cx="3165926" cy="3817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800" i="1"/>
            <a:t>Anm:De</a:t>
          </a:r>
          <a:r>
            <a:rPr lang="en-GB" sz="800" i="1" baseline="0"/>
            <a:t> sidste tre år(2017-2019) er stadig under revision </a:t>
          </a:r>
          <a:endParaRPr lang="en-GB" sz="800" i="1"/>
        </a:p>
        <a:p xmlns:a="http://schemas.openxmlformats.org/drawingml/2006/main">
          <a:r>
            <a:rPr lang="en-GB" sz="800" i="1"/>
            <a:t>Kilde: Statistikbanken, NAN1, NASO1 og Skat</a:t>
          </a:r>
          <a:r>
            <a:rPr lang="en-GB" sz="800" i="1" baseline="0"/>
            <a:t> </a:t>
          </a:r>
          <a:endParaRPr lang="en-GB" sz="800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0.01927</cdr:x>
      <cdr:y>0.83588</cdr:y>
    </cdr:from>
    <cdr:to>
      <cdr:x>0.25053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A399B2D8-DB4E-DD44-A3E3-770D6F8E664C}"/>
            </a:ext>
          </a:extLst>
        </cdr:cNvPr>
        <cdr:cNvSpPr txBox="1"/>
      </cdr:nvSpPr>
      <cdr:spPr>
        <a:xfrm xmlns:a="http://schemas.openxmlformats.org/drawingml/2006/main">
          <a:off x="114294" y="2781300"/>
          <a:ext cx="1371600" cy="546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</cdr:x>
      <cdr:y>0.88017</cdr:y>
    </cdr:from>
    <cdr:to>
      <cdr:x>0.45928</cdr:x>
      <cdr:y>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6F1DDFF1-68ED-0945-89C0-0A754AAC6483}"/>
            </a:ext>
          </a:extLst>
        </cdr:cNvPr>
        <cdr:cNvSpPr txBox="1"/>
      </cdr:nvSpPr>
      <cdr:spPr>
        <a:xfrm xmlns:a="http://schemas.openxmlformats.org/drawingml/2006/main">
          <a:off x="-914400" y="2705100"/>
          <a:ext cx="2578100" cy="368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800" i="1"/>
            <a:t>Anm: De sidste tre år(2017-2019</a:t>
          </a:r>
          <a:r>
            <a:rPr lang="en-GB" sz="800" i="1" baseline="0"/>
            <a:t>) er stadig under revision</a:t>
          </a:r>
        </a:p>
        <a:p xmlns:a="http://schemas.openxmlformats.org/drawingml/2006/main">
          <a:r>
            <a:rPr lang="en-GB" sz="800" i="1" baseline="0"/>
            <a:t>Kilde: Statistikbanken.dk, Skat</a:t>
          </a:r>
          <a:endParaRPr lang="en-GB" sz="800" i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0.88889</cdr:y>
    </cdr:from>
    <cdr:to>
      <cdr:x>0.55037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044BAA8F-52AD-8747-9A69-0C28D93E5545}"/>
            </a:ext>
          </a:extLst>
        </cdr:cNvPr>
        <cdr:cNvSpPr txBox="1"/>
      </cdr:nvSpPr>
      <cdr:spPr>
        <a:xfrm xmlns:a="http://schemas.openxmlformats.org/drawingml/2006/main">
          <a:off x="0" y="3149601"/>
          <a:ext cx="3124395" cy="3936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800" i="1"/>
            <a:t>Anm: De sidste</a:t>
          </a:r>
          <a:r>
            <a:rPr lang="en-GB" sz="800" i="1" baseline="0"/>
            <a:t> tre år(2017-2019) er stadig under revision</a:t>
          </a:r>
        </a:p>
        <a:p xmlns:a="http://schemas.openxmlformats.org/drawingml/2006/main">
          <a:r>
            <a:rPr lang="en-GB" sz="800" i="1" baseline="0"/>
            <a:t>Kilde: Statistikbanken, Skat</a:t>
          </a:r>
          <a:endParaRPr lang="en-GB" sz="800" i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71139-F544-0144-90DD-1669309A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1353</Words>
  <Characters>7621</Characters>
  <Application>Microsoft Office Word</Application>
  <DocSecurity>0</DocSecurity>
  <Lines>136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27</cp:revision>
  <dcterms:created xsi:type="dcterms:W3CDTF">2021-03-24T13:49:00Z</dcterms:created>
  <dcterms:modified xsi:type="dcterms:W3CDTF">2021-03-26T09:51:00Z</dcterms:modified>
</cp:coreProperties>
</file>