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RoMa v2 在 Intersection Truth 口径下的重排结果说明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基于 DINOv3 coarse Top-20 的精匹配重排实验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任务定义与实验设置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数据范围：4 条航线，共 40 个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粗检索方法：DINOv3 全局特征 + FAISS IndexFlatIP。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重排方法：RoMa v2 dense matching + 点对采样 + RANSAC 几何一致性 + 融合分数排序。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执行窗口：coarse Top-20。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总体定量结果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方法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Top1Err(m)</w:t>
            </w:r>
          </w:p>
        </w:tc>
        <w:tc>
          <w:tcPr>
            <w:tcW w:type="dxa" w:w="1242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备注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DINOv3 Baseline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0.775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862.191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Coarse Top20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-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候选上限</w:t>
            </w:r>
          </w:p>
        </w:tc>
      </w:tr>
      <w:tr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RoMa v2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0.925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0.958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630.313</w:t>
            </w:r>
          </w:p>
        </w:tc>
        <w:tc>
          <w:tcPr>
            <w:tcW w:type="dxa" w:w="1242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重排结果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1  DINOv3 Baseline 与 RoMa v2 overall 对比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分航线结果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Baseline R@10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RoMa v2 R@10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Baseline MRR</w:t>
            </w:r>
          </w:p>
        </w:tc>
        <w:tc>
          <w:tcPr>
            <w:tcW w:type="dxa" w:w="1987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RoMa v2 MRR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0.798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0.933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011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0.803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012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0.850</w:t>
            </w:r>
          </w:p>
        </w:tc>
        <w:tc>
          <w:tcPr>
            <w:tcW w:type="dxa" w:w="198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2  分航线结果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时间开销统计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阶段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耗时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RoMa v2 重排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9049.65s (150.83 min)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3  时间开销统计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代表性样例</w:t>
      </w:r>
    </w:p>
    <w:p>
      <w:r>
        <w:rPr>
          <w:rFonts w:ascii="SimSun" w:hAnsi="SimSun" w:eastAsia="SimSun"/>
          <w:b w:val="0"/>
          <w:sz w:val="22"/>
        </w:rPr>
        <w:t>q_001：前排排名进一步提升样例。Baseline 首个真值 rank=7，Coarse Top20 rank=7，RoMa v2 rank=3。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un" w:hAnsi="SimSun" w:eastAsia="SimSun"/>
          <w:b/>
          <w:sz w:val="28"/>
        </w:rPr>
        <w:t>6. 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 RoMa v2 相对 DINOv3 baseline 的 `ΔR@10=+0.000`，`ΔMRR=+0.108`。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Top-1 误差变化为 `-231.878m`。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若召回和误差不能同时改善，则说明当前 RoMa v2 更适合作为验证器，而不是稳定的前排重排器。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