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imSun" w:hAnsi="SimSun" w:eastAsia="SimSun"/>
          <w:b/>
          <w:sz w:val="32"/>
        </w:rPr>
        <w:t>RoMa v2 在 Intersection Truth 口径下的重排结果说明</w:t>
      </w:r>
    </w:p>
    <w:p>
      <w:pPr>
        <w:jc w:val="center"/>
      </w:pPr>
      <w:r>
        <w:rPr>
          <w:rFonts w:ascii="SimSun" w:hAnsi="SimSun" w:eastAsia="SimSun"/>
          <w:b w:val="0"/>
          <w:sz w:val="22"/>
        </w:rPr>
        <w:t>基于 DINOv2 coarse Top-20 的精匹配重排实验</w:t>
      </w:r>
    </w:p>
    <w:p>
      <w:pPr>
        <w:pStyle w:val="Heading1"/>
      </w:pPr>
      <w:r>
        <w:rPr>
          <w:rFonts w:ascii="SimSun" w:hAnsi="SimSun" w:eastAsia="SimSun"/>
          <w:b/>
          <w:sz w:val="28"/>
        </w:rPr>
        <w:t>1. 任务定义与实验设置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数据范围：4 条航线，共 40 个 query。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粗检索方法：DINOv2 全局特征 + FAISS IndexFlatIP。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重排方法：RoMa v2 dense matching + 点对采样 + RANSAC 几何一致性 + 融合分数排序。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执行窗口：coarse Top-20。</w:t>
      </w:r>
    </w:p>
    <w:p>
      <w:pPr>
        <w:pStyle w:val="Heading1"/>
      </w:pPr>
      <w:r>
        <w:rPr>
          <w:rFonts w:ascii="SimSun" w:hAnsi="SimSun" w:eastAsia="SimSun"/>
          <w:b/>
          <w:sz w:val="28"/>
        </w:rPr>
        <w:t>2. 总体定量结果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c>
          <w:tcPr>
            <w:tcW w:type="dxa" w:w="1242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方法</w:t>
            </w:r>
          </w:p>
        </w:tc>
        <w:tc>
          <w:tcPr>
            <w:tcW w:type="dxa" w:w="1242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R@1</w:t>
            </w:r>
          </w:p>
        </w:tc>
        <w:tc>
          <w:tcPr>
            <w:tcW w:type="dxa" w:w="1242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R@5</w:t>
            </w:r>
          </w:p>
        </w:tc>
        <w:tc>
          <w:tcPr>
            <w:tcW w:type="dxa" w:w="1242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R@10</w:t>
            </w:r>
          </w:p>
        </w:tc>
        <w:tc>
          <w:tcPr>
            <w:tcW w:type="dxa" w:w="1242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R@20</w:t>
            </w:r>
          </w:p>
        </w:tc>
        <w:tc>
          <w:tcPr>
            <w:tcW w:type="dxa" w:w="1242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MRR</w:t>
            </w:r>
          </w:p>
        </w:tc>
        <w:tc>
          <w:tcPr>
            <w:tcW w:type="dxa" w:w="1242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Top1Err(m)</w:t>
            </w:r>
          </w:p>
        </w:tc>
        <w:tc>
          <w:tcPr>
            <w:tcW w:type="dxa" w:w="1242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备注</w:t>
            </w:r>
          </w:p>
        </w:tc>
      </w:tr>
      <w:tr>
        <w:tc>
          <w:tcPr>
            <w:tcW w:type="dxa" w:w="1242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DINOv2 Baseline</w:t>
            </w:r>
          </w:p>
        </w:tc>
        <w:tc>
          <w:tcPr>
            <w:tcW w:type="dxa" w:w="1242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0.825</w:t>
            </w:r>
          </w:p>
        </w:tc>
        <w:tc>
          <w:tcPr>
            <w:tcW w:type="dxa" w:w="1242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0.975</w:t>
            </w:r>
          </w:p>
        </w:tc>
        <w:tc>
          <w:tcPr>
            <w:tcW w:type="dxa" w:w="1242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1.000</w:t>
            </w:r>
          </w:p>
        </w:tc>
        <w:tc>
          <w:tcPr>
            <w:tcW w:type="dxa" w:w="1242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1.000</w:t>
            </w:r>
          </w:p>
        </w:tc>
        <w:tc>
          <w:tcPr>
            <w:tcW w:type="dxa" w:w="1242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0.899</w:t>
            </w:r>
          </w:p>
        </w:tc>
        <w:tc>
          <w:tcPr>
            <w:tcW w:type="dxa" w:w="1242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721.818</w:t>
            </w:r>
          </w:p>
        </w:tc>
        <w:tc>
          <w:tcPr>
            <w:tcW w:type="dxa" w:w="1242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  <w:tr>
        <w:tc>
          <w:tcPr>
            <w:tcW w:type="dxa" w:w="1242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Coarse Top20</w:t>
            </w:r>
          </w:p>
        </w:tc>
        <w:tc>
          <w:tcPr>
            <w:tcW w:type="dxa" w:w="1242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  <w:tc>
          <w:tcPr>
            <w:tcW w:type="dxa" w:w="1242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  <w:tc>
          <w:tcPr>
            <w:tcW w:type="dxa" w:w="1242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  <w:tc>
          <w:tcPr>
            <w:tcW w:type="dxa" w:w="1242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1.000</w:t>
            </w:r>
          </w:p>
        </w:tc>
        <w:tc>
          <w:tcPr>
            <w:tcW w:type="dxa" w:w="1242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  <w:tc>
          <w:tcPr>
            <w:tcW w:type="dxa" w:w="1242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  <w:tc>
          <w:tcPr>
            <w:tcW w:type="dxa" w:w="1242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候选上限</w:t>
            </w:r>
          </w:p>
        </w:tc>
      </w:tr>
      <w:tr>
        <w:tc>
          <w:tcPr>
            <w:tcW w:type="dxa" w:w="1242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RoMa v2</w:t>
            </w:r>
          </w:p>
        </w:tc>
        <w:tc>
          <w:tcPr>
            <w:tcW w:type="dxa" w:w="1242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0.900</w:t>
            </w:r>
          </w:p>
        </w:tc>
        <w:tc>
          <w:tcPr>
            <w:tcW w:type="dxa" w:w="1242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1.000</w:t>
            </w:r>
          </w:p>
        </w:tc>
        <w:tc>
          <w:tcPr>
            <w:tcW w:type="dxa" w:w="1242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1.000</w:t>
            </w:r>
          </w:p>
        </w:tc>
        <w:tc>
          <w:tcPr>
            <w:tcW w:type="dxa" w:w="1242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1.000</w:t>
            </w:r>
          </w:p>
        </w:tc>
        <w:tc>
          <w:tcPr>
            <w:tcW w:type="dxa" w:w="1242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0.936</w:t>
            </w:r>
          </w:p>
        </w:tc>
        <w:tc>
          <w:tcPr>
            <w:tcW w:type="dxa" w:w="1242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650.084</w:t>
            </w:r>
          </w:p>
        </w:tc>
        <w:tc>
          <w:tcPr>
            <w:tcW w:type="dxa" w:w="1242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重排结果</w:t>
            </w:r>
          </w:p>
        </w:tc>
      </w:tr>
    </w:tbl>
    <w:p>
      <w:pPr>
        <w:jc w:val="center"/>
      </w:pPr>
      <w:r>
        <w:rPr>
          <w:rFonts w:ascii="SimSun" w:hAnsi="SimSun" w:eastAsia="SimSun"/>
          <w:b w:val="0"/>
          <w:sz w:val="20"/>
        </w:rPr>
        <w:t>表 1  DINOv2 Baseline 与 RoMa v2 overall 对比</w:t>
      </w:r>
    </w:p>
    <w:p>
      <w:pPr>
        <w:pStyle w:val="Heading1"/>
      </w:pPr>
      <w:r>
        <w:rPr>
          <w:rFonts w:ascii="SimSun" w:hAnsi="SimSun" w:eastAsia="SimSun"/>
          <w:b/>
          <w:sz w:val="28"/>
        </w:rPr>
        <w:t>3. 分航线结果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航线</w:t>
            </w:r>
          </w:p>
        </w:tc>
        <w:tc>
          <w:tcPr>
            <w:tcW w:type="dxa" w:w="1987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Baseline R@1</w:t>
            </w:r>
          </w:p>
        </w:tc>
        <w:tc>
          <w:tcPr>
            <w:tcW w:type="dxa" w:w="1987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RoMa v2 R@1</w:t>
            </w:r>
          </w:p>
        </w:tc>
        <w:tc>
          <w:tcPr>
            <w:tcW w:type="dxa" w:w="1987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Baseline MRR</w:t>
            </w:r>
          </w:p>
        </w:tc>
        <w:tc>
          <w:tcPr>
            <w:tcW w:type="dxa" w:w="1987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RoMa v2 MRR</w:t>
            </w:r>
          </w:p>
        </w:tc>
      </w:tr>
      <w:tr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009</w:t>
            </w:r>
          </w:p>
        </w:tc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0.800</w:t>
            </w:r>
          </w:p>
        </w:tc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0.900</w:t>
            </w:r>
          </w:p>
        </w:tc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0.900</w:t>
            </w:r>
          </w:p>
        </w:tc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0.950</w:t>
            </w:r>
          </w:p>
        </w:tc>
      </w:tr>
      <w:tr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010</w:t>
            </w:r>
          </w:p>
        </w:tc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0.900</w:t>
            </w:r>
          </w:p>
        </w:tc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0.900</w:t>
            </w:r>
          </w:p>
        </w:tc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0.950</w:t>
            </w:r>
          </w:p>
        </w:tc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0.920</w:t>
            </w:r>
          </w:p>
        </w:tc>
      </w:tr>
      <w:tr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011</w:t>
            </w:r>
          </w:p>
        </w:tc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0.900</w:t>
            </w:r>
          </w:p>
        </w:tc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1.000</w:t>
            </w:r>
          </w:p>
        </w:tc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0.950</w:t>
            </w:r>
          </w:p>
        </w:tc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1.000</w:t>
            </w:r>
          </w:p>
        </w:tc>
      </w:tr>
      <w:tr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012</w:t>
            </w:r>
          </w:p>
        </w:tc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0.700</w:t>
            </w:r>
          </w:p>
        </w:tc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0.800</w:t>
            </w:r>
          </w:p>
        </w:tc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0.794</w:t>
            </w:r>
          </w:p>
        </w:tc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0.875</w:t>
            </w:r>
          </w:p>
        </w:tc>
      </w:tr>
    </w:tbl>
    <w:p>
      <w:pPr>
        <w:jc w:val="center"/>
      </w:pPr>
      <w:r>
        <w:rPr>
          <w:rFonts w:ascii="SimSun" w:hAnsi="SimSun" w:eastAsia="SimSun"/>
          <w:b w:val="0"/>
          <w:sz w:val="20"/>
        </w:rPr>
        <w:t>表 2  分航线结果</w:t>
      </w:r>
    </w:p>
    <w:p>
      <w:pPr>
        <w:pStyle w:val="Heading1"/>
      </w:pPr>
      <w:r>
        <w:rPr>
          <w:rFonts w:ascii="SimSun" w:hAnsi="SimSun" w:eastAsia="SimSun"/>
          <w:b/>
          <w:sz w:val="28"/>
        </w:rPr>
        <w:t>4. 时间开销统计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阶段</w:t>
            </w:r>
          </w:p>
        </w:tc>
        <w:tc>
          <w:tcPr>
            <w:tcW w:type="dxa" w:w="4968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耗时</w:t>
            </w:r>
          </w:p>
        </w:tc>
      </w:tr>
      <w:tr>
        <w:tc>
          <w:tcPr>
            <w:tcW w:type="dxa" w:w="4968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RoMa v2 重排</w:t>
            </w:r>
          </w:p>
        </w:tc>
        <w:tc>
          <w:tcPr>
            <w:tcW w:type="dxa" w:w="4968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9214.63s (153.58 min)</w:t>
            </w:r>
          </w:p>
        </w:tc>
      </w:tr>
    </w:tbl>
    <w:p>
      <w:pPr>
        <w:jc w:val="center"/>
      </w:pPr>
      <w:r>
        <w:rPr>
          <w:rFonts w:ascii="SimSun" w:hAnsi="SimSun" w:eastAsia="SimSun"/>
          <w:b w:val="0"/>
          <w:sz w:val="20"/>
        </w:rPr>
        <w:t>表 3  时间开销统计</w:t>
      </w:r>
    </w:p>
    <w:p>
      <w:pPr>
        <w:pStyle w:val="Heading1"/>
      </w:pPr>
      <w:r>
        <w:rPr>
          <w:rFonts w:ascii="SimSun" w:hAnsi="SimSun" w:eastAsia="SimSun"/>
          <w:b/>
          <w:sz w:val="28"/>
        </w:rPr>
        <w:t>5. 代表性样例</w:t>
      </w:r>
    </w:p>
    <w:p>
      <w:r>
        <w:rPr>
          <w:rFonts w:ascii="SimSun" w:hAnsi="SimSun" w:eastAsia="SimSun"/>
          <w:b w:val="0"/>
          <w:sz w:val="22"/>
        </w:rPr>
        <w:t>q_032：前排排名进一步提升样例。Baseline 首个真值 rank=9，Coarse Top20 rank=9，RoMa v2 rank=4。</w:t>
      </w:r>
    </w:p>
    <w:p>
      <w:pPr>
        <w:sectPr>
          <w:pgSz w:w="12240" w:h="15840"/>
          <w:pgMar w:top="1008" w:right="1152" w:bottom="1008" w:left="1152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rFonts w:ascii="SimSun" w:hAnsi="SimSun" w:eastAsia="SimSun"/>
          <w:b/>
          <w:sz w:val="28"/>
        </w:rPr>
        <w:t>6. 结论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本轮 RoMa v2 相对 DINOv2 baseline 的 `ΔR@1=+0.075`，`ΔR@5=+0.025`，`ΔMRR=+0.038`。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Top-1 误差由 `721.818m` 降为 `650.084m`，改善 `71.734m`。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分航线表现应结合本轮结果表解读，不预设所有航线都无回退。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