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GeM Pooling方法思想与实验步骤说明</w:t>
      </w:r>
    </w:p>
    <w:p>
      <w:r>
        <w:t xml:space="preserve">日期：2026-03-12</w:t>
      </w:r>
    </w:p>
    <w:p>
      <w:pPr>
        <w:pStyle w:val="Heading1"/>
      </w:pPr>
      <w:r>
        <w:t xml:space="preserve">一、方法思想</w:t>
      </w:r>
    </w:p>
    <w:p>
      <w:r>
        <w:t xml:space="preserve">GeM Pooling 可以看成是介于平均池化和最大池化之间的一种广义池化方式。它通过指数参数 p 控制对高响应 token 的强调程度，从而在保留整体信息的同时突出更显著的局部区域。</w:t>
      </w:r>
    </w:p>
    <w:p>
      <w:r>
        <w:t xml:space="preserve">在本实验中，卫星瓦片和无人机查询图都对 patch tokens 做 GeM 聚合，参数 p 固定为 3.0，然后做 L2 归一化与 FAISS 检索。</w:t>
      </w:r>
    </w:p>
    <w:p>
      <w:r>
        <w:t xml:space="preserve">GeM 常用于图像检索场景，因此这里对比它的目的，是验证它在无人机-卫星跨视角粗定位中能否兼顾召回与定位误差。</w:t>
      </w:r>
    </w:p>
    <w:p>
      <w:pPr>
        <w:pStyle w:val="Heading1"/>
      </w:pPr>
      <w:r>
        <w:t xml:space="preserve">二、在当前实验中的具体处理链路</w:t>
      </w:r>
    </w:p>
    <w:p>
      <w:r>
        <w:t xml:space="preserve">1. 读取当前公平查询集和既有卫星瓦片库。</w:t>
      </w:r>
      <w:r>
        <w:br/>
      </w:r>
      <w:r>
        <w:t xml:space="preserve">2. 卫星瓦片全部经过 DINOv2-base，并使用当前方法对应的 pooling 生成卫星全局特征。</w:t>
      </w:r>
      <w:r>
        <w:br/>
      </w:r>
      <w:r>
        <w:t xml:space="preserve">3. 用卫星特征建立 FAISS IndexFlatIP 索引。</w:t>
      </w:r>
      <w:r>
        <w:br/>
      </w:r>
      <w:r>
        <w:t xml:space="preserve">4. 无人机查询图也经过同一个 DINOv2-base，并使用同一种 pooling 生成查询特征。</w:t>
      </w:r>
      <w:r>
        <w:br/>
      </w:r>
      <w:r>
        <w:t xml:space="preserve">5. 对查询特征做 L2 归一化后，在同一索引中做 Top-K 检索。</w:t>
      </w:r>
      <w:r>
        <w:br/>
      </w:r>
      <w:r>
        <w:t xml:space="preserve">6. 根据统一的 truth_tile_ids 评估 Recall@1、Recall@5、Recall@10、MRR、Top-1定位误差及查询时延。</w:t>
      </w:r>
    </w:p>
    <w:p>
      <w:pPr>
        <w:pStyle w:val="Heading1"/>
      </w:pPr>
      <w:r>
        <w:t xml:space="preserve">三、实验步骤概述</w:t>
      </w:r>
    </w:p>
    <w:p>
      <w:r>
        <w:t xml:space="preserve">1. 数据准备：复用 validation_round3_200m_fair 的 4 条航线、20 个 200m 查询块。</w:t>
      </w:r>
      <w:r>
        <w:br/>
      </w:r>
      <w:r>
        <w:t xml:space="preserve">2. 特征构建：生成该方法对应的卫星特征库。</w:t>
      </w:r>
      <w:r>
        <w:br/>
      </w:r>
      <w:r>
        <w:t xml:space="preserve">3. 索引建立：构建当前方法的 FAISS 内积索引。</w:t>
      </w:r>
      <w:r>
        <w:br/>
      </w:r>
      <w:r>
        <w:t xml:space="preserve">4. 查询提特征：对每条航线的查询图提取同类特征。</w:t>
      </w:r>
      <w:r>
        <w:br/>
      </w:r>
      <w:r>
        <w:t xml:space="preserve">5. 粗检索：输出 Top-10 候选卫星瓦片。</w:t>
      </w:r>
      <w:r>
        <w:br/>
      </w:r>
      <w:r>
        <w:t xml:space="preserve">6. 结果评估：统计总体与分航线指标。</w:t>
      </w:r>
      <w:r>
        <w:br/>
      </w:r>
      <w:r>
        <w:t xml:space="preserve">7. 时延统计：记录单次特征提取、单次检索和单次总耗时。</w:t>
      </w:r>
    </w:p>
    <w:p>
      <w:pPr>
        <w:pStyle w:val="Heading1"/>
      </w:pPr>
      <w:r>
        <w:t xml:space="preserve">四、该方法当前实验总体结果</w:t>
      </w:r>
    </w:p>
    <w:tbl>
      <w:tblPr>
        <w:tblStyle w:val="TableGrid"/>
        <w:tblW w:w="0" w:type="auto"/>
      </w:tblPr>
      <w:tblGrid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数值</w:t>
            </w:r>
          </w:p>
        </w:tc>
      </w:tr>
      <w:tr>
        <w:tc>
          <w:tcPr>
            <w:tcW w:w="1700" w:type="dxa"/>
          </w:tcPr>
          <w:p>
            <w:r>
              <w:t xml:space="preserve">Recall@1</w:t>
            </w:r>
          </w:p>
        </w:tc>
        <w:tc>
          <w:tcPr>
            <w:tcW w:w="1700" w:type="dxa"/>
          </w:tcPr>
          <w:p>
            <w:r>
              <w:t xml:space="preserve">0.350</w:t>
            </w:r>
          </w:p>
        </w:tc>
      </w:tr>
      <w:tr>
        <w:tc>
          <w:tcPr>
            <w:tcW w:w="1700" w:type="dxa"/>
          </w:tcPr>
          <w:p>
            <w:r>
              <w:t xml:space="preserve">Recall@5</w:t>
            </w:r>
          </w:p>
        </w:tc>
        <w:tc>
          <w:tcPr>
            <w:tcW w:w="1700" w:type="dxa"/>
          </w:tcPr>
          <w:p>
            <w:r>
              <w:t xml:space="preserve">0.550</w:t>
            </w:r>
          </w:p>
        </w:tc>
      </w:tr>
      <w:tr>
        <w:tc>
          <w:tcPr>
            <w:tcW w:w="1700" w:type="dxa"/>
          </w:tcPr>
          <w:p>
            <w:r>
              <w:t xml:space="preserve">Recall@10</w:t>
            </w:r>
          </w:p>
        </w:tc>
        <w:tc>
          <w:tcPr>
            <w:tcW w:w="1700" w:type="dxa"/>
          </w:tcPr>
          <w:p>
            <w:r>
              <w:t xml:space="preserve">0.900</w:t>
            </w:r>
          </w:p>
        </w:tc>
      </w:tr>
      <w:tr>
        <w:tc>
          <w:tcPr>
            <w:tcW w:w="1700" w:type="dxa"/>
          </w:tcPr>
          <w:p>
            <w:r>
              <w:t xml:space="preserve">MRR</w:t>
            </w:r>
          </w:p>
        </w:tc>
        <w:tc>
          <w:tcPr>
            <w:tcW w:w="1700" w:type="dxa"/>
          </w:tcPr>
          <w:p>
            <w:r>
              <w:t xml:space="preserve">0.489</w:t>
            </w:r>
          </w:p>
        </w:tc>
      </w:tr>
      <w:tr>
        <w:tc>
          <w:tcPr>
            <w:tcW w:w="1700" w:type="dxa"/>
          </w:tcPr>
          <w:p>
            <w:r>
              <w:t xml:space="preserve">Top-1定位误差均值(m)</w:t>
            </w:r>
          </w:p>
        </w:tc>
        <w:tc>
          <w:tcPr>
            <w:tcW w:w="1700" w:type="dxa"/>
          </w:tcPr>
          <w:p>
            <w:r>
              <w:t xml:space="preserve">292.164</w:t>
            </w:r>
          </w:p>
        </w:tc>
      </w:tr>
      <w:tr>
        <w:tc>
          <w:tcPr>
            <w:tcW w:w="1700" w:type="dxa"/>
          </w:tcPr>
          <w:p>
            <w:r>
              <w:t xml:space="preserve">单次特征提取均值(ms)</w:t>
            </w:r>
          </w:p>
        </w:tc>
        <w:tc>
          <w:tcPr>
            <w:tcW w:w="1700" w:type="dxa"/>
          </w:tcPr>
          <w:p>
            <w:r>
              <w:t xml:space="preserve">1907.669</w:t>
            </w:r>
          </w:p>
        </w:tc>
      </w:tr>
      <w:tr>
        <w:tc>
          <w:tcPr>
            <w:tcW w:w="1700" w:type="dxa"/>
          </w:tcPr>
          <w:p>
            <w:r>
              <w:t xml:space="preserve">单次检索均值(ms)</w:t>
            </w:r>
          </w:p>
        </w:tc>
        <w:tc>
          <w:tcPr>
            <w:tcW w:w="1700" w:type="dxa"/>
          </w:tcPr>
          <w:p>
            <w:r>
              <w:t xml:space="preserve">1.111</w:t>
            </w:r>
          </w:p>
        </w:tc>
      </w:tr>
      <w:tr>
        <w:tc>
          <w:tcPr>
            <w:tcW w:w="1700" w:type="dxa"/>
          </w:tcPr>
          <w:p>
            <w:r>
              <w:t xml:space="preserve">单次总耗时均值(ms)</w:t>
            </w:r>
          </w:p>
        </w:tc>
        <w:tc>
          <w:tcPr>
            <w:tcW w:w="1700" w:type="dxa"/>
          </w:tcPr>
          <w:p>
            <w:r>
              <w:t xml:space="preserve">1908.783</w:t>
            </w:r>
          </w:p>
        </w:tc>
      </w:tr>
    </w:tbl>
    <w:p>
      <w:pPr>
        <w:pStyle w:val="Heading1"/>
      </w:pPr>
      <w:r>
        <w:t xml:space="preserve">五、分航线结果</w:t>
      </w:r>
    </w:p>
    <w:tbl>
      <w:tblPr>
        <w:tblStyle w:val="TableGrid"/>
        <w:tblW w:w="0" w:type="auto"/>
      </w:tblPr>
      <w:tblGrid>
        <w:gridCol w:w="170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航线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R@5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R@10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MRR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Top-1误差(m)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总耗时(ms)</w:t>
            </w:r>
          </w:p>
        </w:tc>
      </w:tr>
      <w:tr>
        <w:tc>
          <w:tcPr>
            <w:tcW w:w="1700" w:type="dxa"/>
          </w:tcPr>
          <w:p>
            <w:r>
              <w:t xml:space="preserve">009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0.657</w:t>
            </w:r>
          </w:p>
        </w:tc>
        <w:tc>
          <w:tcPr>
            <w:tcW w:w="1700" w:type="dxa"/>
          </w:tcPr>
          <w:p>
            <w:r>
              <w:t xml:space="preserve">177.624</w:t>
            </w:r>
          </w:p>
        </w:tc>
        <w:tc>
          <w:tcPr>
            <w:tcW w:w="1700" w:type="dxa"/>
          </w:tcPr>
          <w:p>
            <w:r>
              <w:t xml:space="preserve">1957.405</w:t>
            </w:r>
          </w:p>
        </w:tc>
      </w:tr>
      <w:tr>
        <w:tc>
          <w:tcPr>
            <w:tcW w:w="1700" w:type="dxa"/>
          </w:tcPr>
          <w:p>
            <w:r>
              <w:t xml:space="preserve">010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0.556</w:t>
            </w:r>
          </w:p>
        </w:tc>
        <w:tc>
          <w:tcPr>
            <w:tcW w:w="1700" w:type="dxa"/>
          </w:tcPr>
          <w:p>
            <w:r>
              <w:t xml:space="preserve">211.920</w:t>
            </w:r>
          </w:p>
        </w:tc>
        <w:tc>
          <w:tcPr>
            <w:tcW w:w="1700" w:type="dxa"/>
          </w:tcPr>
          <w:p>
            <w:r>
              <w:t xml:space="preserve">1966.541</w:t>
            </w:r>
          </w:p>
        </w:tc>
      </w:tr>
      <w:tr>
        <w:tc>
          <w:tcPr>
            <w:tcW w:w="1700" w:type="dxa"/>
          </w:tcPr>
          <w:p>
            <w:r>
              <w:t xml:space="preserve">011</w:t>
            </w:r>
          </w:p>
        </w:tc>
        <w:tc>
          <w:tcPr>
            <w:tcW w:w="1700" w:type="dxa"/>
          </w:tcPr>
          <w:p>
            <w:r>
              <w:t xml:space="preserve">0.200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0.367</w:t>
            </w:r>
          </w:p>
        </w:tc>
        <w:tc>
          <w:tcPr>
            <w:tcW w:w="1700" w:type="dxa"/>
          </w:tcPr>
          <w:p>
            <w:r>
              <w:t xml:space="preserve">370.613</w:t>
            </w:r>
          </w:p>
        </w:tc>
        <w:tc>
          <w:tcPr>
            <w:tcW w:w="1700" w:type="dxa"/>
          </w:tcPr>
          <w:p>
            <w:r>
              <w:t xml:space="preserve">1854.174</w:t>
            </w:r>
          </w:p>
        </w:tc>
      </w:tr>
      <w:tr>
        <w:tc>
          <w:tcPr>
            <w:tcW w:w="1700" w:type="dxa"/>
          </w:tcPr>
          <w:p>
            <w:r>
              <w:t xml:space="preserve">012</w:t>
            </w:r>
          </w:p>
        </w:tc>
        <w:tc>
          <w:tcPr>
            <w:tcW w:w="1700" w:type="dxa"/>
          </w:tcPr>
          <w:p>
            <w:r>
              <w:t xml:space="preserve">0.200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0.375</w:t>
            </w:r>
          </w:p>
        </w:tc>
        <w:tc>
          <w:tcPr>
            <w:tcW w:w="1700" w:type="dxa"/>
          </w:tcPr>
          <w:p>
            <w:r>
              <w:t xml:space="preserve">408.497</w:t>
            </w:r>
          </w:p>
        </w:tc>
        <w:tc>
          <w:tcPr>
            <w:tcW w:w="1700" w:type="dxa"/>
          </w:tcPr>
          <w:p>
            <w:r>
              <w:t xml:space="preserve">1857.012</w:t>
            </w:r>
          </w:p>
        </w:tc>
      </w:tr>
    </w:tbl>
    <w:p>
      <w:pPr>
        <w:pStyle w:val="Heading1"/>
      </w:pPr>
      <w:r>
        <w:t xml:space="preserve">六、简要解读</w:t>
      </w:r>
    </w:p>
    <w:p>
      <w:r>
        <w:t xml:space="preserve">该方法同样具备较快的推理速度，并在部分样本上给出更小的定位误差，但整体 Recall@1/5 仍低于 pooler/cls。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Pooling方法思想与实验步骤说明</dc:title>
  <dc:creator>Codex</dc:creator>
  <cp:lastModifiedBy>Codex</cp:lastModifiedBy>
  <dcterms:created xsi:type="dcterms:W3CDTF">2026-03-12T02:10:05Z</dcterms:created>
  <dcterms:modified xsi:type="dcterms:W3CDTF">2026-03-12T02:10:05Z</dcterms:modified>
</cp:coreProperties>
</file>