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Mean Pooling方法思想与实验步骤说明</w:t>
      </w:r>
    </w:p>
    <w:p>
      <w:r>
        <w:t xml:space="preserve">日期：2026-03-12</w:t>
      </w:r>
    </w:p>
    <w:p>
      <w:pPr>
        <w:pStyle w:val="Heading1"/>
      </w:pPr>
      <w:r>
        <w:t xml:space="preserve">一、方法思想</w:t>
      </w:r>
    </w:p>
    <w:p>
      <w:r>
        <w:t xml:space="preserve">Mean Pooling 方法对 DINOv2 最后一层的 patch tokens 做平均池化，用所有局部 token 的均值来构成全局图像描述子。它强调把整幅图像的局部信息平均整合到一个向量中。</w:t>
      </w:r>
    </w:p>
    <w:p>
      <w:r>
        <w:t xml:space="preserve">在本实验中，卫星瓦片和无人机查询图都统一取 patch tokens，再沿 token 维度做 mean pooling，之后做 L2 归一化并进入 FAISS 检索。</w:t>
      </w:r>
    </w:p>
    <w:p>
      <w:r>
        <w:t xml:space="preserve">Mean Pooling 的价值在于检验：相比单点式的 CLS 表示，均值聚合是否能更好吸收局部结构信息。</w:t>
      </w:r>
    </w:p>
    <w:p>
      <w:pPr>
        <w:pStyle w:val="Heading1"/>
      </w:pPr>
      <w:r>
        <w:t xml:space="preserve">二、在当前实验中的具体处理链路</w:t>
      </w:r>
    </w:p>
    <w:p>
      <w:r>
        <w:t xml:space="preserve">1. 读取当前公平查询集和既有卫星瓦片库。</w:t>
      </w:r>
      <w:r>
        <w:br/>
      </w:r>
      <w:r>
        <w:t xml:space="preserve">2. 卫星瓦片全部经过 DINOv2-base，并使用当前方法对应的 pooling 生成卫星全局特征。</w:t>
      </w:r>
      <w:r>
        <w:br/>
      </w:r>
      <w:r>
        <w:t xml:space="preserve">3. 用卫星特征建立 FAISS IndexFlatIP 索引。</w:t>
      </w:r>
      <w:r>
        <w:br/>
      </w:r>
      <w:r>
        <w:t xml:space="preserve">4. 无人机查询图也经过同一个 DINOv2-base，并使用同一种 pooling 生成查询特征。</w:t>
      </w:r>
      <w:r>
        <w:br/>
      </w:r>
      <w:r>
        <w:t xml:space="preserve">5. 对查询特征做 L2 归一化后，在同一索引中做 Top-K 检索。</w:t>
      </w:r>
      <w:r>
        <w:br/>
      </w:r>
      <w:r>
        <w:t xml:space="preserve">6. 根据统一的 truth_tile_ids 评估 Recall@1、Recall@5、Recall@10、MRR、Top-1定位误差及查询时延。</w:t>
      </w:r>
    </w:p>
    <w:p>
      <w:pPr>
        <w:pStyle w:val="Heading1"/>
      </w:pPr>
      <w:r>
        <w:t xml:space="preserve">三、实验步骤概述</w:t>
      </w:r>
    </w:p>
    <w:p>
      <w:r>
        <w:t xml:space="preserve">1. 数据准备：复用 validation_round3_200m_fair 的 4 条航线、20 个 200m 查询块。</w:t>
      </w:r>
      <w:r>
        <w:br/>
      </w:r>
      <w:r>
        <w:t xml:space="preserve">2. 特征构建：生成该方法对应的卫星特征库。</w:t>
      </w:r>
      <w:r>
        <w:br/>
      </w:r>
      <w:r>
        <w:t xml:space="preserve">3. 索引建立：构建当前方法的 FAISS 内积索引。</w:t>
      </w:r>
      <w:r>
        <w:br/>
      </w:r>
      <w:r>
        <w:t xml:space="preserve">4. 查询提特征：对每条航线的查询图提取同类特征。</w:t>
      </w:r>
      <w:r>
        <w:br/>
      </w:r>
      <w:r>
        <w:t xml:space="preserve">5. 粗检索：输出 Top-10 候选卫星瓦片。</w:t>
      </w:r>
      <w:r>
        <w:br/>
      </w:r>
      <w:r>
        <w:t xml:space="preserve">6. 结果评估：统计总体与分航线指标。</w:t>
      </w:r>
      <w:r>
        <w:br/>
      </w:r>
      <w:r>
        <w:t xml:space="preserve">7. 时延统计：记录单次特征提取、单次检索和单次总耗时。</w:t>
      </w:r>
    </w:p>
    <w:p>
      <w:pPr>
        <w:pStyle w:val="Heading1"/>
      </w:pPr>
      <w:r>
        <w:t xml:space="preserve">四、该方法当前实验总体结果</w:t>
      </w:r>
    </w:p>
    <w:tbl>
      <w:tblPr>
        <w:tblStyle w:val="TableGrid"/>
        <w:tblW w:w="0" w:type="auto"/>
      </w:tblPr>
      <w:tblGrid>
        <w:gridCol w:w="1700"/>
        <w:gridCol w:w="1700"/>
      </w:tblGrid>
      <w:tr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数值</w:t>
            </w:r>
          </w:p>
        </w:tc>
      </w:tr>
      <w:tr>
        <w:tc>
          <w:tcPr>
            <w:tcW w:w="1700" w:type="dxa"/>
          </w:tcPr>
          <w:p>
            <w:r>
              <w:t xml:space="preserve">Recall@1</w:t>
            </w:r>
          </w:p>
        </w:tc>
        <w:tc>
          <w:tcPr>
            <w:tcW w:w="1700" w:type="dxa"/>
          </w:tcPr>
          <w:p>
            <w:r>
              <w:t xml:space="preserve">0.350</w:t>
            </w:r>
          </w:p>
        </w:tc>
      </w:tr>
      <w:tr>
        <w:tc>
          <w:tcPr>
            <w:tcW w:w="1700" w:type="dxa"/>
          </w:tcPr>
          <w:p>
            <w:r>
              <w:t xml:space="preserve">Recall@5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</w:tr>
      <w:tr>
        <w:tc>
          <w:tcPr>
            <w:tcW w:w="1700" w:type="dxa"/>
          </w:tcPr>
          <w:p>
            <w:r>
              <w:t xml:space="preserve">Recall@10</w:t>
            </w:r>
          </w:p>
        </w:tc>
        <w:tc>
          <w:tcPr>
            <w:tcW w:w="1700" w:type="dxa"/>
          </w:tcPr>
          <w:p>
            <w:r>
              <w:t xml:space="preserve">0.850</w:t>
            </w:r>
          </w:p>
        </w:tc>
      </w:tr>
      <w:tr>
        <w:tc>
          <w:tcPr>
            <w:tcW w:w="1700" w:type="dxa"/>
          </w:tcPr>
          <w:p>
            <w:r>
              <w:t xml:space="preserve">MRR</w:t>
            </w:r>
          </w:p>
        </w:tc>
        <w:tc>
          <w:tcPr>
            <w:tcW w:w="1700" w:type="dxa"/>
          </w:tcPr>
          <w:p>
            <w:r>
              <w:t xml:space="preserve">0.466</w:t>
            </w:r>
          </w:p>
        </w:tc>
      </w:tr>
      <w:tr>
        <w:tc>
          <w:tcPr>
            <w:tcW w:w="1700" w:type="dxa"/>
          </w:tcPr>
          <w:p>
            <w:r>
              <w:t xml:space="preserve">Top-1定位误差均值(m)</w:t>
            </w:r>
          </w:p>
        </w:tc>
        <w:tc>
          <w:tcPr>
            <w:tcW w:w="1700" w:type="dxa"/>
          </w:tcPr>
          <w:p>
            <w:r>
              <w:t xml:space="preserve">299.348</w:t>
            </w:r>
          </w:p>
        </w:tc>
      </w:tr>
      <w:tr>
        <w:tc>
          <w:tcPr>
            <w:tcW w:w="1700" w:type="dxa"/>
          </w:tcPr>
          <w:p>
            <w:r>
              <w:t xml:space="preserve">单次特征提取均值(ms)</w:t>
            </w:r>
          </w:p>
        </w:tc>
        <w:tc>
          <w:tcPr>
            <w:tcW w:w="1700" w:type="dxa"/>
          </w:tcPr>
          <w:p>
            <w:r>
              <w:t xml:space="preserve">1935.733</w:t>
            </w:r>
          </w:p>
        </w:tc>
      </w:tr>
      <w:tr>
        <w:tc>
          <w:tcPr>
            <w:tcW w:w="1700" w:type="dxa"/>
          </w:tcPr>
          <w:p>
            <w:r>
              <w:t xml:space="preserve">单次检索均值(ms)</w:t>
            </w:r>
          </w:p>
        </w:tc>
        <w:tc>
          <w:tcPr>
            <w:tcW w:w="1700" w:type="dxa"/>
          </w:tcPr>
          <w:p>
            <w:r>
              <w:t xml:space="preserve">1.178</w:t>
            </w:r>
          </w:p>
        </w:tc>
      </w:tr>
      <w:tr>
        <w:tc>
          <w:tcPr>
            <w:tcW w:w="1700" w:type="dxa"/>
          </w:tcPr>
          <w:p>
            <w:r>
              <w:t xml:space="preserve">单次总耗时均值(ms)</w:t>
            </w:r>
          </w:p>
        </w:tc>
        <w:tc>
          <w:tcPr>
            <w:tcW w:w="1700" w:type="dxa"/>
          </w:tcPr>
          <w:p>
            <w:r>
              <w:t xml:space="preserve">1936.914</w:t>
            </w:r>
          </w:p>
        </w:tc>
      </w:tr>
    </w:tbl>
    <w:p>
      <w:pPr>
        <w:pStyle w:val="Heading1"/>
      </w:pPr>
      <w:r>
        <w:t xml:space="preserve">五、分航线结果</w:t>
      </w:r>
    </w:p>
    <w:tbl>
      <w:tblPr>
        <w:tblStyle w:val="TableGrid"/>
        <w:tblW w:w="0" w:type="auto"/>
      </w:tblPr>
      <w:tblGrid>
        <w:gridCol w:w="1700"/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航线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R@1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R@5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R@10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MRR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Top-1误差(m)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总耗时(ms)</w:t>
            </w:r>
          </w:p>
        </w:tc>
      </w:tr>
      <w:tr>
        <w:tc>
          <w:tcPr>
            <w:tcW w:w="1700" w:type="dxa"/>
          </w:tcPr>
          <w:p>
            <w:r>
              <w:t xml:space="preserve">009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0.800</w:t>
            </w:r>
          </w:p>
        </w:tc>
        <w:tc>
          <w:tcPr>
            <w:tcW w:w="1700" w:type="dxa"/>
          </w:tcPr>
          <w:p>
            <w:r>
              <w:t xml:space="preserve">1.000</w:t>
            </w:r>
          </w:p>
        </w:tc>
        <w:tc>
          <w:tcPr>
            <w:tcW w:w="1700" w:type="dxa"/>
          </w:tcPr>
          <w:p>
            <w:r>
              <w:t xml:space="preserve">0.669</w:t>
            </w:r>
          </w:p>
        </w:tc>
        <w:tc>
          <w:tcPr>
            <w:tcW w:w="1700" w:type="dxa"/>
          </w:tcPr>
          <w:p>
            <w:r>
              <w:t xml:space="preserve">207.429</w:t>
            </w:r>
          </w:p>
        </w:tc>
        <w:tc>
          <w:tcPr>
            <w:tcW w:w="1700" w:type="dxa"/>
          </w:tcPr>
          <w:p>
            <w:r>
              <w:t xml:space="preserve">1987.196</w:t>
            </w:r>
          </w:p>
        </w:tc>
      </w:tr>
      <w:tr>
        <w:tc>
          <w:tcPr>
            <w:tcW w:w="1700" w:type="dxa"/>
          </w:tcPr>
          <w:p>
            <w:r>
              <w:t xml:space="preserve">010</w:t>
            </w:r>
          </w:p>
        </w:tc>
        <w:tc>
          <w:tcPr>
            <w:tcW w:w="1700" w:type="dxa"/>
          </w:tcPr>
          <w:p>
            <w:r>
              <w:t xml:space="preserve">0.400</w:t>
            </w:r>
          </w:p>
        </w:tc>
        <w:tc>
          <w:tcPr>
            <w:tcW w:w="1700" w:type="dxa"/>
          </w:tcPr>
          <w:p>
            <w:r>
              <w:t xml:space="preserve">1.000</w:t>
            </w:r>
          </w:p>
        </w:tc>
        <w:tc>
          <w:tcPr>
            <w:tcW w:w="1700" w:type="dxa"/>
          </w:tcPr>
          <w:p>
            <w:r>
              <w:t xml:space="preserve">1.000</w:t>
            </w:r>
          </w:p>
        </w:tc>
        <w:tc>
          <w:tcPr>
            <w:tcW w:w="1700" w:type="dxa"/>
          </w:tcPr>
          <w:p>
            <w:r>
              <w:t xml:space="preserve">0.640</w:t>
            </w:r>
          </w:p>
        </w:tc>
        <w:tc>
          <w:tcPr>
            <w:tcW w:w="1700" w:type="dxa"/>
          </w:tcPr>
          <w:p>
            <w:r>
              <w:t xml:space="preserve">211.920</w:t>
            </w:r>
          </w:p>
        </w:tc>
        <w:tc>
          <w:tcPr>
            <w:tcW w:w="1700" w:type="dxa"/>
          </w:tcPr>
          <w:p>
            <w:r>
              <w:t xml:space="preserve">1939.754</w:t>
            </w:r>
          </w:p>
        </w:tc>
      </w:tr>
      <w:tr>
        <w:tc>
          <w:tcPr>
            <w:tcW w:w="1700" w:type="dxa"/>
          </w:tcPr>
          <w:p>
            <w:r>
              <w:t xml:space="preserve">011</w:t>
            </w:r>
          </w:p>
        </w:tc>
        <w:tc>
          <w:tcPr>
            <w:tcW w:w="1700" w:type="dxa"/>
          </w:tcPr>
          <w:p>
            <w:r>
              <w:t xml:space="preserve">0.200</w:t>
            </w:r>
          </w:p>
        </w:tc>
        <w:tc>
          <w:tcPr>
            <w:tcW w:w="1700" w:type="dxa"/>
          </w:tcPr>
          <w:p>
            <w:r>
              <w:t xml:space="preserve">0.200</w:t>
            </w:r>
          </w:p>
        </w:tc>
        <w:tc>
          <w:tcPr>
            <w:tcW w:w="1700" w:type="dxa"/>
          </w:tcPr>
          <w:p>
            <w:r>
              <w:t xml:space="preserve">0.800</w:t>
            </w:r>
          </w:p>
        </w:tc>
        <w:tc>
          <w:tcPr>
            <w:tcW w:w="1700" w:type="dxa"/>
          </w:tcPr>
          <w:p>
            <w:r>
              <w:t xml:space="preserve">0.282</w:t>
            </w:r>
          </w:p>
        </w:tc>
        <w:tc>
          <w:tcPr>
            <w:tcW w:w="1700" w:type="dxa"/>
          </w:tcPr>
          <w:p>
            <w:r>
              <w:t xml:space="preserve">311.695</w:t>
            </w:r>
          </w:p>
        </w:tc>
        <w:tc>
          <w:tcPr>
            <w:tcW w:w="1700" w:type="dxa"/>
          </w:tcPr>
          <w:p>
            <w:r>
              <w:t xml:space="preserve">1888.066</w:t>
            </w:r>
          </w:p>
        </w:tc>
      </w:tr>
      <w:tr>
        <w:tc>
          <w:tcPr>
            <w:tcW w:w="1700" w:type="dxa"/>
          </w:tcPr>
          <w:p>
            <w:r>
              <w:t xml:space="preserve">012</w:t>
            </w:r>
          </w:p>
        </w:tc>
        <w:tc>
          <w:tcPr>
            <w:tcW w:w="1700" w:type="dxa"/>
          </w:tcPr>
          <w:p>
            <w:r>
              <w:t xml:space="preserve">0.200</w:t>
            </w:r>
          </w:p>
        </w:tc>
        <w:tc>
          <w:tcPr>
            <w:tcW w:w="1700" w:type="dxa"/>
          </w:tcPr>
          <w:p>
            <w:r>
              <w:t xml:space="preserve">0.400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0.273</w:t>
            </w:r>
          </w:p>
        </w:tc>
        <w:tc>
          <w:tcPr>
            <w:tcW w:w="1700" w:type="dxa"/>
          </w:tcPr>
          <w:p>
            <w:r>
              <w:t xml:space="preserve">466.346</w:t>
            </w:r>
          </w:p>
        </w:tc>
        <w:tc>
          <w:tcPr>
            <w:tcW w:w="1700" w:type="dxa"/>
          </w:tcPr>
          <w:p>
            <w:r>
              <w:t xml:space="preserve">1932.641</w:t>
            </w:r>
          </w:p>
        </w:tc>
      </w:tr>
    </w:tbl>
    <w:p>
      <w:pPr>
        <w:pStyle w:val="Heading1"/>
      </w:pPr>
      <w:r>
        <w:t xml:space="preserve">六、简要解读</w:t>
      </w:r>
    </w:p>
    <w:p>
      <w:r>
        <w:t xml:space="preserve">该方法速度较快且部分航线的 Top-1 误差更低，但总体召回能力下降，尤其在 011 和 012 航线出现明显退化。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Mean Pooling方法思想与实验步骤说明</dc:title>
  <dc:creator>Codex</dc:creator>
  <cp:lastModifiedBy>Codex</cp:lastModifiedBy>
  <dcterms:created xsi:type="dcterms:W3CDTF">2026-03-12T02:10:05Z</dcterms:created>
  <dcterms:modified xsi:type="dcterms:W3CDTF">2026-03-12T02:10:05Z</dcterms:modified>
</cp:coreProperties>
</file>