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POOLER方法思想与实验步骤说明</w:t>
      </w:r>
    </w:p>
    <w:p>
      <w:r>
        <w:t xml:space="preserve">日期：2026-03-12</w:t>
      </w:r>
    </w:p>
    <w:p>
      <w:pPr>
        <w:pStyle w:val="Heading1"/>
      </w:pPr>
      <w:r>
        <w:t xml:space="preserve">一、方法思想</w:t>
      </w:r>
    </w:p>
    <w:p>
      <w:r>
        <w:t xml:space="preserve">POOLER 方法直接使用 DINOv2 模型输出的 pooler_output 作为图像全局描述子。它代表当前 PoC 的主基线实现，重点在于保留模型原生的全局语义表示能力，尽量不额外改变特征聚合机制。</w:t>
      </w:r>
    </w:p>
    <w:p>
      <w:r>
        <w:t xml:space="preserve">在本实验中，卫星瓦片和无人机查询图都经过同一个 DINOv2-base 模型，并统一取 pooler_output，再做 L2 归一化后进入 FAISS 内积索引检索。</w:t>
      </w:r>
    </w:p>
    <w:p>
      <w:r>
        <w:t xml:space="preserve">POOLER 是当前最重要的基线方法，适合用来衡量其他 pooling 方案是否真正带来收益。</w:t>
      </w:r>
    </w:p>
    <w:p>
      <w:pPr>
        <w:pStyle w:val="Heading1"/>
      </w:pPr>
      <w:r>
        <w:t xml:space="preserve">二、在当前实验中的具体处理链路</w:t>
      </w:r>
    </w:p>
    <w:p>
      <w:r>
        <w:t xml:space="preserve">1. 读取当前公平查询集和既有卫星瓦片库。</w:t>
      </w:r>
      <w:r>
        <w:br/>
      </w:r>
      <w:r>
        <w:t xml:space="preserve">2. 卫星瓦片全部经过 DINOv2-base，并使用当前方法对应的 pooling 生成卫星全局特征。</w:t>
      </w:r>
      <w:r>
        <w:br/>
      </w:r>
      <w:r>
        <w:t xml:space="preserve">3. 用卫星特征建立 FAISS IndexFlatIP 索引。</w:t>
      </w:r>
      <w:r>
        <w:br/>
      </w:r>
      <w:r>
        <w:t xml:space="preserve">4. 无人机查询图也经过同一个 DINOv2-base，并使用同一种 pooling 生成查询特征。</w:t>
      </w:r>
      <w:r>
        <w:br/>
      </w:r>
      <w:r>
        <w:t xml:space="preserve">5. 对查询特征做 L2 归一化后，在同一索引中做 Top-K 检索。</w:t>
      </w:r>
      <w:r>
        <w:br/>
      </w:r>
      <w:r>
        <w:t xml:space="preserve">6. 根据统一的 truth_tile_ids 评估 Recall@1、Recall@5、Recall@10、MRR、Top-1定位误差及查询时延。</w:t>
      </w:r>
    </w:p>
    <w:p>
      <w:pPr>
        <w:pStyle w:val="Heading1"/>
      </w:pPr>
      <w:r>
        <w:t xml:space="preserve">三、实验步骤概述</w:t>
      </w:r>
    </w:p>
    <w:p>
      <w:r>
        <w:t xml:space="preserve">1. 数据准备：复用 validation_round3_200m_fair 的 4 条航线、20 个 200m 查询块。</w:t>
      </w:r>
      <w:r>
        <w:br/>
      </w:r>
      <w:r>
        <w:t xml:space="preserve">2. 特征构建：生成该方法对应的卫星特征库。</w:t>
      </w:r>
      <w:r>
        <w:br/>
      </w:r>
      <w:r>
        <w:t xml:space="preserve">3. 索引建立：构建当前方法的 FAISS 内积索引。</w:t>
      </w:r>
      <w:r>
        <w:br/>
      </w:r>
      <w:r>
        <w:t xml:space="preserve">4. 查询提特征：对每条航线的查询图提取同类特征。</w:t>
      </w:r>
      <w:r>
        <w:br/>
      </w:r>
      <w:r>
        <w:t xml:space="preserve">5. 粗检索：输出 Top-10 候选卫星瓦片。</w:t>
      </w:r>
      <w:r>
        <w:br/>
      </w:r>
      <w:r>
        <w:t xml:space="preserve">6. 结果评估：统计总体与分航线指标。</w:t>
      </w:r>
      <w:r>
        <w:br/>
      </w:r>
      <w:r>
        <w:t xml:space="preserve">7. 时延统计：记录单次特征提取、单次检索和单次总耗时。</w:t>
      </w:r>
    </w:p>
    <w:p>
      <w:pPr>
        <w:pStyle w:val="Heading1"/>
      </w:pPr>
      <w:r>
        <w:t xml:space="preserve">四、该方法当前实验总体结果</w:t>
      </w:r>
    </w:p>
    <w:tbl>
      <w:tblPr>
        <w:tblStyle w:val="TableGrid"/>
        <w:tblW w:w="0" w:type="auto"/>
      </w:tblPr>
      <w:tblGrid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1700" w:type="dxa"/>
          </w:tcPr>
          <w:p>
            <w:r>
              <w:t xml:space="preserve">Recall@1</w:t>
            </w:r>
          </w:p>
        </w:tc>
        <w:tc>
          <w:tcPr>
            <w:tcW w:w="1700" w:type="dxa"/>
          </w:tcPr>
          <w:p>
            <w:r>
              <w:t xml:space="preserve">0.500</w:t>
            </w:r>
          </w:p>
        </w:tc>
      </w:tr>
      <w:tr>
        <w:tc>
          <w:tcPr>
            <w:tcW w:w="1700" w:type="dxa"/>
          </w:tcPr>
          <w:p>
            <w:r>
              <w:t xml:space="preserve">Recall@5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</w:tr>
      <w:tr>
        <w:tc>
          <w:tcPr>
            <w:tcW w:w="1700" w:type="dxa"/>
          </w:tcPr>
          <w:p>
            <w:r>
              <w:t xml:space="preserve">Recall@10</w:t>
            </w:r>
          </w:p>
        </w:tc>
        <w:tc>
          <w:tcPr>
            <w:tcW w:w="1700" w:type="dxa"/>
          </w:tcPr>
          <w:p>
            <w:r>
              <w:t xml:space="preserve">0.900</w:t>
            </w:r>
          </w:p>
        </w:tc>
      </w:tr>
      <w:tr>
        <w:tc>
          <w:tcPr>
            <w:tcW w:w="1700" w:type="dxa"/>
          </w:tcPr>
          <w:p>
            <w:r>
              <w:t xml:space="preserve">MRR</w:t>
            </w:r>
          </w:p>
        </w:tc>
        <w:tc>
          <w:tcPr>
            <w:tcW w:w="1700" w:type="dxa"/>
          </w:tcPr>
          <w:p>
            <w:r>
              <w:t xml:space="preserve">0.601</w:t>
            </w:r>
          </w:p>
        </w:tc>
      </w:tr>
      <w:tr>
        <w:tc>
          <w:tcPr>
            <w:tcW w:w="1700" w:type="dxa"/>
          </w:tcPr>
          <w:p>
            <w:r>
              <w:t xml:space="preserve">Top-1定位误差均值(m)</w:t>
            </w:r>
          </w:p>
        </w:tc>
        <w:tc>
          <w:tcPr>
            <w:tcW w:w="1700" w:type="dxa"/>
          </w:tcPr>
          <w:p>
            <w:r>
              <w:t xml:space="preserve">370.205</w:t>
            </w:r>
          </w:p>
        </w:tc>
      </w:tr>
      <w:tr>
        <w:tc>
          <w:tcPr>
            <w:tcW w:w="1700" w:type="dxa"/>
          </w:tcPr>
          <w:p>
            <w:r>
              <w:t xml:space="preserve">单次特征提取均值(ms)</w:t>
            </w:r>
          </w:p>
        </w:tc>
        <w:tc>
          <w:tcPr>
            <w:tcW w:w="1700" w:type="dxa"/>
          </w:tcPr>
          <w:p>
            <w:r>
              <w:t xml:space="preserve">2570.166</w:t>
            </w:r>
          </w:p>
        </w:tc>
      </w:tr>
      <w:tr>
        <w:tc>
          <w:tcPr>
            <w:tcW w:w="1700" w:type="dxa"/>
          </w:tcPr>
          <w:p>
            <w:r>
              <w:t xml:space="preserve">单次检索均值(ms)</w:t>
            </w:r>
          </w:p>
        </w:tc>
        <w:tc>
          <w:tcPr>
            <w:tcW w:w="1700" w:type="dxa"/>
          </w:tcPr>
          <w:p>
            <w:r>
              <w:t xml:space="preserve">1.238</w:t>
            </w:r>
          </w:p>
        </w:tc>
      </w:tr>
      <w:tr>
        <w:tc>
          <w:tcPr>
            <w:tcW w:w="1700" w:type="dxa"/>
          </w:tcPr>
          <w:p>
            <w:r>
              <w:t xml:space="preserve">单次总耗时均值(ms)</w:t>
            </w:r>
          </w:p>
        </w:tc>
        <w:tc>
          <w:tcPr>
            <w:tcW w:w="1700" w:type="dxa"/>
          </w:tcPr>
          <w:p>
            <w:r>
              <w:t xml:space="preserve">2571.407</w:t>
            </w:r>
          </w:p>
        </w:tc>
      </w:tr>
    </w:tbl>
    <w:p>
      <w:pPr>
        <w:pStyle w:val="Heading1"/>
      </w:pPr>
      <w:r>
        <w:t xml:space="preserve">五、分航线结果</w:t>
      </w:r>
    </w:p>
    <w:tbl>
      <w:tblPr>
        <w:tblStyle w:val="TableGrid"/>
        <w:tblW w:w="0" w:type="auto"/>
      </w:tblPr>
      <w:tblGrid>
        <w:gridCol w:w="170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航线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700" w:type="dxa"/>
          </w:tcPr>
          <w:p>
            <w:r>
              <w:t xml:space="preserve">009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0.750</w:t>
            </w:r>
          </w:p>
        </w:tc>
        <w:tc>
          <w:tcPr>
            <w:tcW w:w="1700" w:type="dxa"/>
          </w:tcPr>
          <w:p>
            <w:r>
              <w:t xml:space="preserve">353.162</w:t>
            </w:r>
          </w:p>
        </w:tc>
        <w:tc>
          <w:tcPr>
            <w:tcW w:w="1700" w:type="dxa"/>
          </w:tcPr>
          <w:p>
            <w:r>
              <w:t xml:space="preserve">3386.155</w:t>
            </w:r>
          </w:p>
        </w:tc>
      </w:tr>
      <w:tr>
        <w:tc>
          <w:tcPr>
            <w:tcW w:w="1700" w:type="dxa"/>
          </w:tcPr>
          <w:p>
            <w:r>
              <w:t xml:space="preserve">010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0.529</w:t>
            </w:r>
          </w:p>
        </w:tc>
        <w:tc>
          <w:tcPr>
            <w:tcW w:w="1700" w:type="dxa"/>
          </w:tcPr>
          <w:p>
            <w:r>
              <w:t xml:space="preserve">654.266</w:t>
            </w:r>
          </w:p>
        </w:tc>
        <w:tc>
          <w:tcPr>
            <w:tcW w:w="1700" w:type="dxa"/>
          </w:tcPr>
          <w:p>
            <w:r>
              <w:t xml:space="preserve">2110.326</w:t>
            </w:r>
          </w:p>
        </w:tc>
      </w:tr>
      <w:tr>
        <w:tc>
          <w:tcPr>
            <w:tcW w:w="1700" w:type="dxa"/>
          </w:tcPr>
          <w:p>
            <w:r>
              <w:t xml:space="preserve">011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0.660</w:t>
            </w:r>
          </w:p>
        </w:tc>
        <w:tc>
          <w:tcPr>
            <w:tcW w:w="1700" w:type="dxa"/>
          </w:tcPr>
          <w:p>
            <w:r>
              <w:t xml:space="preserve">237.065</w:t>
            </w:r>
          </w:p>
        </w:tc>
        <w:tc>
          <w:tcPr>
            <w:tcW w:w="1700" w:type="dxa"/>
          </w:tcPr>
          <w:p>
            <w:r>
              <w:t xml:space="preserve">2210.385</w:t>
            </w:r>
          </w:p>
        </w:tc>
      </w:tr>
      <w:tr>
        <w:tc>
          <w:tcPr>
            <w:tcW w:w="1700" w:type="dxa"/>
          </w:tcPr>
          <w:p>
            <w:r>
              <w:t xml:space="preserve">012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0.467</w:t>
            </w:r>
          </w:p>
        </w:tc>
        <w:tc>
          <w:tcPr>
            <w:tcW w:w="1700" w:type="dxa"/>
          </w:tcPr>
          <w:p>
            <w:r>
              <w:t xml:space="preserve">236.327</w:t>
            </w:r>
          </w:p>
        </w:tc>
        <w:tc>
          <w:tcPr>
            <w:tcW w:w="1700" w:type="dxa"/>
          </w:tcPr>
          <w:p>
            <w:r>
              <w:t xml:space="preserve">2578.763</w:t>
            </w:r>
          </w:p>
        </w:tc>
      </w:tr>
    </w:tbl>
    <w:p>
      <w:pPr>
        <w:pStyle w:val="Heading1"/>
      </w:pPr>
      <w:r>
        <w:t xml:space="preserve">六、简要解读</w:t>
      </w:r>
    </w:p>
    <w:p>
      <w:r>
        <w:t xml:space="preserve">该方法在当前实验中属于召回表现最稳定的一组，尤其在 009 和 011 航线上保持较强的粗检索能力。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POOLER方法思想与实验步骤说明</dc:title>
  <dc:creator>Codex</dc:creator>
  <cp:lastModifiedBy>Codex</cp:lastModifiedBy>
  <dcterms:created xsi:type="dcterms:W3CDTF">2026-03-12T02:10:05Z</dcterms:created>
  <dcterms:modified xsi:type="dcterms:W3CDTF">2026-03-12T02:10:05Z</dcterms:modified>
</cp:coreProperties>
</file>