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rid-discovery-fixture"/>
    <w:p>
      <w:pPr>
        <w:pStyle w:val="Heading1"/>
      </w:pPr>
      <w:r>
        <w:t xml:space="preserve">RRID discovery fixture</w:t>
      </w:r>
    </w:p>
    <w:p>
      <w:pPr>
        <w:pStyle w:val="FirstParagraph"/>
      </w:pPr>
      <w:r>
        <w:t xml:space="preserve">This document cites the resource</w:t>
      </w:r>
      <w:r>
        <w:t xml:space="preserve"> </w:t>
      </w:r>
      <w:r>
        <w:rPr>
          <w:rStyle w:val="VerbatimChar"/>
        </w:rPr>
        <w:t xml:space="preserve">RRID:IMSR_JAX:000664</w:t>
      </w:r>
      <w:r>
        <w:t xml:space="preserve"> </w:t>
      </w:r>
      <w:r>
        <w:t xml:space="preserve">and repeats it through the approved resolver alias https://n2t.net/RRID:IMSR_JAX:000664.</w:t>
      </w:r>
    </w:p>
    <w:p>
      <w:pPr>
        <w:pStyle w:val="BodyText"/>
      </w:pPr>
      <w:r>
        <w:t xml:space="preserve">The bare registry value IMSR_JAX:000664 must not be discovered independently.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2026-09-08T17:16:37Z</dcterms:created>
  <dcterms:modified xsi:type="dcterms:W3CDTF">2026-09-08T17:16:37Z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