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node.js/CommonJS, Python, HTML5/CSS3, XML, LaTeX, ActionScript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VBA, Bash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Underscore.js, Lodash.js, Ramda.js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Photoshop, Adobe Fireworks, Adobe Illustrator, Adobe Flash</w:t>
      </w:r>
    </w:p>
    <w:bookmarkStart w:id="26" w:name="security-certifications"/>
    <w:p>
      <w:pPr>
        <w:pStyle w:val="Heading2"/>
      </w:pPr>
      <w:r>
        <w:t xml:space="preserve">Security (</w:t>
      </w:r>
      <w:hyperlink w:anchor="certifications">
        <w:r>
          <w:rPr>
            <w:rStyle w:val="Link"/>
          </w:rPr>
          <w:t xml:space="preserve">certifications</w:t>
        </w:r>
      </w:hyperlink>
      <w:r>
        <w:t xml:space="preserve">)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Kali Linux, Metasploit framework, OpenSCAP</w:t>
      </w:r>
    </w:p>
    <w:p>
      <w:pPr>
        <w:pStyle w:val="Compact"/>
        <w:numPr>
          <w:numId w:val="6"/>
          <w:ilvl w:val="0"/>
        </w:numPr>
      </w:pPr>
      <w:r>
        <w:t xml:space="preserve">Web Application security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c72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368e6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