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9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6b5c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6b5c"/>
          <w:sz w:val="22"/>
          <w:szCs w:val="22"/>
          <w:u w:val="none"/>
          <w:shd w:fill="auto" w:val="clear"/>
          <w:vertAlign w:val="baseline"/>
          <w:rtl w:val="0"/>
        </w:rPr>
        <w:t xml:space="preserve">Overview of Datasets used in the </w:t>
      </w:r>
      <w:hyperlink r:id="rId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S.T.Op NextGen dashboard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6b5c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tbl>
      <w:tblPr>
        <w:tblStyle w:val="Table1"/>
        <w:tblW w:w="1035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20"/>
      </w:tblPr>
      <w:tblGrid>
        <w:gridCol w:w="1438"/>
        <w:gridCol w:w="2532"/>
        <w:gridCol w:w="2336"/>
        <w:gridCol w:w="1887"/>
        <w:gridCol w:w="2157"/>
        <w:tblGridChange w:id="0">
          <w:tblGrid>
            <w:gridCol w:w="1438"/>
            <w:gridCol w:w="2532"/>
            <w:gridCol w:w="2336"/>
            <w:gridCol w:w="1887"/>
            <w:gridCol w:w="2157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9"/>
                <w:tab w:val="center" w:pos="1217"/>
              </w:tabs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Source</w:t>
            </w:r>
          </w:p>
        </w:tc>
        <w:tc>
          <w:tcPr>
            <w:tcMar>
              <w:left w:w="58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9"/>
                <w:tab w:val="center" w:pos="1217"/>
              </w:tabs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Dataset</w:t>
            </w:r>
          </w:p>
        </w:tc>
        <w:tc>
          <w:tcPr>
            <w:tcMar>
              <w:left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Structure</w:t>
            </w:r>
          </w:p>
        </w:tc>
        <w:tc>
          <w:tcPr>
            <w:tcMar>
              <w:lef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Types of Variables</w:t>
            </w:r>
          </w:p>
        </w:tc>
        <w:tc>
          <w:tcPr>
            <w:tcMar>
              <w:lef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Population included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SAMHSA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dat_service_locator_2017.csv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record per treatment facility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Treatment services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Ancillary service types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Accepted insurance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Location &amp; contact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SAMHSA Behavioral  Health Treatment Services Locator (2017), used to locate nearby facilities</w:t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CDC WONDER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opioid_deaths_CDC_byzip.csv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record per 5-digit zip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Opioid-related death rate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 of deaths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Population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Females ages 15-44</w:t>
              <w:br w:type="textWrapping"/>
              <w:t xml:space="preserve">Combined data (2013-2017)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opioid_deaths_CDC_bycounty.csv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record per county per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Opioid-related death rate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 of deaths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Population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Females ages 15-44</w:t>
              <w:br w:type="textWrapping"/>
              <w:t xml:space="preserve">Combined data (2013-2017)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9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opioid_deaths_CDC_bystate.csv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record per state per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Opioid-related death rate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 of deaths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Population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Females ages 15-44</w:t>
              <w:br w:type="textWrapping"/>
              <w:t xml:space="preserve">Combined data (2013-2017)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NSDUH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nsduh_2013to2017.csv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record per individual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Males &amp; Females</w:t>
              <w:br w:type="textWrapping"/>
              <w:t xml:space="preserve">All ages </w:t>
              <w:br w:type="textWrapping"/>
              <w:t xml:space="preserve">Yearly data (2013-2017)</w:t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counties_adj_list.csv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County neighbor list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us_geo_clean.csv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 zip code data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cb_2016_us_state_20m\ [files]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US state shape files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cb_2016_us_county_20m\ [files]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9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SAMHSA (dat_service_locator_2017.csv)</w:t>
      </w:r>
    </w:p>
    <w:tbl>
      <w:tblPr>
        <w:tblStyle w:val="Table2"/>
        <w:tblW w:w="8588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20"/>
      </w:tblPr>
      <w:tblGrid>
        <w:gridCol w:w="2088"/>
        <w:gridCol w:w="6500"/>
        <w:tblGridChange w:id="0">
          <w:tblGrid>
            <w:gridCol w:w="2088"/>
            <w:gridCol w:w="6500"/>
          </w:tblGrid>
        </w:tblGridChange>
      </w:tblGrid>
      <w:tr>
        <w:tc>
          <w:tcPr>
            <w:tcMar>
              <w:bottom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Key variables (selected)</w:t>
            </w:r>
          </w:p>
        </w:tc>
        <w:tc>
          <w:tcPr>
            <w:tcMar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locator_id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Service locator ID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Service provider name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Additional information on the service provider name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street1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Street information of the provider address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street2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Additional street information of the provider address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City of the service provider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State of the service provider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Zipcode of the service provider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County of the service provider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Phone number of the service provider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Website of the service provider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Longitude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Latitude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transp_ast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Indicator of the service for transportation assistance by the provider (Yes/No)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housing_service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Indicator of the service for transportation assistance by the provider (Yes/No)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mental_health_service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Indicator of the service for housing service by the provider (Yes/No)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acpt_medicaid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Indicator of whether accept Medicaid by the provider (Yes/No)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acpt_no_pmt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Indicator of whether accept no payment by the provider (Yes/No)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chld_care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Indicator of the service for child care by the provider (Yes/No)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train_for_client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Indicator of the service for employment counseling or training by the provider (Yes/No)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service_list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 of the provided services</w:t>
            </w:r>
          </w:p>
        </w:tc>
      </w:tr>
    </w:tbl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9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CDC WONDER (opioid_deaths_CDC_bystate.csv)</w:t>
      </w:r>
    </w:p>
    <w:tbl>
      <w:tblPr>
        <w:tblStyle w:val="Table3"/>
        <w:tblW w:w="8563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20"/>
      </w:tblPr>
      <w:tblGrid>
        <w:gridCol w:w="2430"/>
        <w:gridCol w:w="6133"/>
        <w:tblGridChange w:id="0">
          <w:tblGrid>
            <w:gridCol w:w="2430"/>
            <w:gridCol w:w="6133"/>
          </w:tblGrid>
        </w:tblGridChange>
      </w:tblGrid>
      <w:tr>
        <w:tc>
          <w:tcPr>
            <w:tcMar>
              <w:bottom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Key variables (selected)</w:t>
            </w:r>
          </w:p>
        </w:tc>
        <w:tc>
          <w:tcPr>
            <w:tcMar>
              <w:bottom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State (value = _US_ represents all states – i.e., national statistics)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stateFIPS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FIPS code of the state (used for merging with location datasets)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Demographic subgroup represented (combinations of age, race, and ethnicity)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Opioid_DeathRate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 of opioid-related deaths per 100,000 people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Population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Size of the population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 of opioid-related deaths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Latitude coordinate (for the center of the state)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Longitude coordinate (for the center of the state)</w:t>
            </w:r>
          </w:p>
        </w:tc>
      </w:tr>
    </w:tbl>
    <w:p w:rsidR="00000000" w:rsidDel="00000000" w:rsidP="00000000" w:rsidRDefault="00000000" w:rsidRPr="00000000" w14:paraId="0000008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9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CDC WONDER (opioid_deaths_CDC_bycounty.csv)</w:t>
      </w:r>
    </w:p>
    <w:tbl>
      <w:tblPr>
        <w:tblStyle w:val="Table4"/>
        <w:tblW w:w="8563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20"/>
      </w:tblPr>
      <w:tblGrid>
        <w:gridCol w:w="2430"/>
        <w:gridCol w:w="6133"/>
        <w:tblGridChange w:id="0">
          <w:tblGrid>
            <w:gridCol w:w="2430"/>
            <w:gridCol w:w="6133"/>
          </w:tblGrid>
        </w:tblGridChange>
      </w:tblGrid>
      <w:tr>
        <w:tc>
          <w:tcPr>
            <w:tcMar>
              <w:bottom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Key variables (selected)</w:t>
            </w:r>
          </w:p>
        </w:tc>
        <w:tc>
          <w:tcPr>
            <w:tcMar>
              <w:bottom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CountyFIPS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FIPS code of the county (used for merging with location datasets)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County name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State (value = _US_ represents all states – i.e., national statistics)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stateFIPS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FIPS code of the state (used for merging with location datasets)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Demographic subgroup represented (combinations of age, race, and ethnicity)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Opioid_DeathRate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 of opioid-related deaths per 100,000 people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Population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Size of the population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 of opioid-related deaths</w:t>
            </w:r>
          </w:p>
        </w:tc>
      </w:tr>
    </w:tbl>
    <w:p w:rsidR="00000000" w:rsidDel="00000000" w:rsidP="00000000" w:rsidRDefault="00000000" w:rsidRPr="00000000" w14:paraId="0000009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9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CDC WONDER (opioid_deaths_CDC_byzip.csv)</w:t>
      </w:r>
    </w:p>
    <w:tbl>
      <w:tblPr>
        <w:tblStyle w:val="Table5"/>
        <w:tblW w:w="8563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20"/>
      </w:tblPr>
      <w:tblGrid>
        <w:gridCol w:w="2430"/>
        <w:gridCol w:w="6133"/>
        <w:tblGridChange w:id="0">
          <w:tblGrid>
            <w:gridCol w:w="2430"/>
            <w:gridCol w:w="6133"/>
          </w:tblGrid>
        </w:tblGridChange>
      </w:tblGrid>
      <w:tr>
        <w:tc>
          <w:tcPr>
            <w:tcMar>
              <w:bottom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Key variables (selected)</w:t>
            </w:r>
          </w:p>
        </w:tc>
        <w:tc>
          <w:tcPr>
            <w:tcMar>
              <w:bottom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ZipCode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5-digit zip code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City name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CountyFIPS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FIPS code of the county (used for merging with location datasets)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County name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State (value = _US_ represents all states – i.e., national statistics)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stateFIPS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FIPS code of the state (used for merging with location datasets)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Demographic subgroup represented (combinations of age, race, and ethnicity)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Opioid_DeathRate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 of opioid-related deaths per 100,000 people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note: this value was calculated at the county level and will be identical for all cities within the county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Population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Size of the population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 of opioid-related deaths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Latitude coordinate (for the center of the city)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Longitude coordinate (for the center of the city)</w:t>
            </w:r>
          </w:p>
        </w:tc>
      </w:tr>
    </w:tbl>
    <w:p w:rsidR="00000000" w:rsidDel="00000000" w:rsidP="00000000" w:rsidRDefault="00000000" w:rsidRPr="00000000" w14:paraId="000000B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9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9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NSDUH (nsduh_2013to2017.csv)</w:t>
      </w:r>
    </w:p>
    <w:tbl>
      <w:tblPr>
        <w:tblStyle w:val="Table6"/>
        <w:tblW w:w="936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20"/>
      </w:tblPr>
      <w:tblGrid>
        <w:gridCol w:w="5130"/>
        <w:gridCol w:w="4230"/>
        <w:tblGridChange w:id="0">
          <w:tblGrid>
            <w:gridCol w:w="5130"/>
            <w:gridCol w:w="4230"/>
          </w:tblGrid>
        </w:tblGridChange>
      </w:tblGrid>
      <w:tr>
        <w:tc>
          <w:tcPr>
            <w:tcMar>
              <w:bottom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Key variables (selected)</w:t>
            </w:r>
          </w:p>
        </w:tc>
        <w:tc>
          <w:tcPr>
            <w:tcMar>
              <w:bottom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Year of the survey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opioid_misuse_any, opioid_misuse_pastyr, opioid_misuse_pastmo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Lifetime, past year, or past month opioid misuse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heroin_any, heroin_pastyr, heroin_pastmo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Lifetime, past year, or past month heroin use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agecat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Age category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whiterace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White race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hispanic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Hispanic ethnicity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preg_trimest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Pregnancy trimester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children_under18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Children in the household under 18 years old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Language in which the survey was given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eduhighcat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Education category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empl_status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Employment status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moves_pastyr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Number of moves in the past year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insurance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Insurance status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Income category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poverty3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Income in relationship to poverty threshold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Size of metro area where respondent lives</w:t>
            </w:r>
          </w:p>
        </w:tc>
      </w:tr>
    </w:tbl>
    <w:p w:rsidR="00000000" w:rsidDel="00000000" w:rsidP="00000000" w:rsidRDefault="00000000" w:rsidRPr="00000000" w14:paraId="000000D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9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 (counties_adj_list.csv)</w:t>
      </w:r>
    </w:p>
    <w:tbl>
      <w:tblPr>
        <w:tblStyle w:val="Table7"/>
        <w:tblW w:w="837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20"/>
      </w:tblPr>
      <w:tblGrid>
        <w:gridCol w:w="2610"/>
        <w:gridCol w:w="5760"/>
        <w:tblGridChange w:id="0">
          <w:tblGrid>
            <w:gridCol w:w="2610"/>
            <w:gridCol w:w="5760"/>
          </w:tblGrid>
        </w:tblGridChange>
      </w:tblGrid>
      <w:tr>
        <w:tc>
          <w:tcPr>
            <w:tcMar>
              <w:bottom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Key variable name (selected)</w:t>
            </w:r>
          </w:p>
        </w:tc>
        <w:tc>
          <w:tcPr>
            <w:tcMar>
              <w:bottom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County name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neighbors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Name of neighbor counties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ounty_geoid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GEOID of the county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br_geoid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GEOID of the neighboring county</w:t>
            </w:r>
          </w:p>
        </w:tc>
      </w:tr>
    </w:tbl>
    <w:p w:rsidR="00000000" w:rsidDel="00000000" w:rsidP="00000000" w:rsidRDefault="00000000" w:rsidRPr="00000000" w14:paraId="000000E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9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 (us_geo_clean.csv)</w:t>
      </w:r>
    </w:p>
    <w:tbl>
      <w:tblPr>
        <w:tblStyle w:val="Table8"/>
        <w:tblW w:w="837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20"/>
      </w:tblPr>
      <w:tblGrid>
        <w:gridCol w:w="2340"/>
        <w:gridCol w:w="6030"/>
        <w:tblGridChange w:id="0">
          <w:tblGrid>
            <w:gridCol w:w="2340"/>
            <w:gridCol w:w="6030"/>
          </w:tblGrid>
        </w:tblGridChange>
      </w:tblGrid>
      <w:tr>
        <w:trPr>
          <w:trHeight w:val="140" w:hRule="atLeast"/>
        </w:trPr>
        <w:tc>
          <w:tcPr>
            <w:tcMar>
              <w:bottom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Key variable name (selected)</w:t>
            </w:r>
          </w:p>
        </w:tc>
        <w:tc>
          <w:tcPr>
            <w:tcMar>
              <w:bottom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GEOID - unique geographic identifier used by the Census Bureau &amp; other agencies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zipcode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Zip code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State abbreviation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City name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County name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Latitude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Longitude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areacode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Area code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statefips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State-level Federal Information Processing System (FIPS) code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countyfips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County-level FIPS code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msacode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Metropolitan Statistical Area (MSA) code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timezone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Time zone</w:t>
            </w:r>
          </w:p>
        </w:tc>
      </w:tr>
    </w:tbl>
    <w:p w:rsidR="00000000" w:rsidDel="00000000" w:rsidP="00000000" w:rsidRDefault="00000000" w:rsidRPr="00000000" w14:paraId="000001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29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360"/>
      </w:tabs>
      <w:spacing w:after="80" w:before="0" w:line="29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The data provided have been cleaned and constructed solely for use during this event and are not intended for public dissemination.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360"/>
      </w:tabs>
      <w:spacing w:after="80" w:before="0" w:line="29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The data provided have been cleaned and constructed solely for use during this event and are not intended for public dissemination.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left" w:pos="864"/>
        <w:tab w:val="right" w:pos="10080"/>
      </w:tabs>
      <w:spacing w:after="360" w:before="0" w:line="29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1"/>
        <w:strike w:val="0"/>
        <w:color w:val="0b294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0b2949"/>
        <w:sz w:val="20"/>
        <w:szCs w:val="20"/>
        <w:u w:val="none"/>
        <w:shd w:fill="auto" w:val="clear"/>
        <w:vertAlign w:val="baseline"/>
        <w:rtl w:val="0"/>
      </w:rPr>
      <w:t xml:space="preserve">MINI-HACKATHON CODEBOOK</w:t>
      <w:tab/>
      <w:t xml:space="preserve">MATHEMATICA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left" w:pos="864"/>
        <w:tab w:val="right" w:pos="10080"/>
      </w:tabs>
      <w:spacing w:after="360" w:before="0" w:line="29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1"/>
        <w:strike w:val="0"/>
        <w:color w:val="0b294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0b2949"/>
        <w:sz w:val="20"/>
        <w:szCs w:val="20"/>
        <w:u w:val="none"/>
        <w:shd w:fill="auto" w:val="clear"/>
        <w:vertAlign w:val="baseline"/>
        <w:rtl w:val="0"/>
      </w:rPr>
      <w:t xml:space="preserve">MINI-HACKATHON CODEBOOK</w:t>
      <w:tab/>
      <w:t xml:space="preserve">MATHEMATICA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40" w:line="29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tabs>
        <w:tab w:val="left" w:pos="432"/>
      </w:tabs>
      <w:spacing w:before="240" w:lineRule="auto"/>
    </w:pPr>
    <w:rPr>
      <w:rFonts w:ascii="Arial Black" w:cs="Arial Black" w:eastAsia="Arial Black" w:hAnsi="Arial Black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tabs>
        <w:tab w:val="left" w:pos="432"/>
      </w:tabs>
      <w:spacing w:before="240" w:lineRule="auto"/>
    </w:pPr>
    <w:rPr>
      <w:rFonts w:ascii="Arial Black" w:cs="Arial Black" w:eastAsia="Arial Black" w:hAnsi="Arial Black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432"/>
      </w:tabs>
      <w:spacing w:after="120" w:lineRule="auto"/>
      <w:ind w:left="432" w:hanging="432"/>
    </w:pPr>
    <w:rPr>
      <w:rFonts w:ascii="Arial Black" w:cs="Arial Black" w:eastAsia="Arial Black" w:hAnsi="Arial Black"/>
      <w:sz w:val="22"/>
      <w:szCs w:val="22"/>
    </w:rPr>
  </w:style>
  <w:style w:type="paragraph" w:styleId="Heading4">
    <w:name w:val="heading 4"/>
    <w:basedOn w:val="Normal"/>
    <w:next w:val="Normal"/>
    <w:pPr>
      <w:keepNext w:val="1"/>
      <w:tabs>
        <w:tab w:val="left" w:pos="432"/>
      </w:tabs>
      <w:spacing w:after="120" w:lineRule="auto"/>
      <w:ind w:left="432" w:hanging="432"/>
    </w:pPr>
    <w:rPr>
      <w:b w:val="1"/>
    </w:rPr>
  </w:style>
  <w:style w:type="paragraph" w:styleId="Heading5">
    <w:name w:val="heading 5"/>
    <w:basedOn w:val="Normal"/>
    <w:next w:val="Normal"/>
    <w:pPr>
      <w:keepNext w:val="1"/>
      <w:tabs>
        <w:tab w:val="left" w:pos="432"/>
      </w:tabs>
      <w:spacing w:after="120" w:lineRule="auto"/>
      <w:ind w:left="432" w:hanging="432"/>
    </w:pPr>
    <w:rPr>
      <w:b w:val="1"/>
    </w:rPr>
  </w:style>
  <w:style w:type="paragraph" w:styleId="Heading6">
    <w:name w:val="heading 6"/>
    <w:basedOn w:val="Normal"/>
    <w:next w:val="Normal"/>
    <w:pPr>
      <w:keepNext w:val="1"/>
      <w:spacing w:after="120" w:lineRule="auto"/>
      <w:ind w:left="1152" w:hanging="432"/>
    </w:pPr>
    <w:rPr/>
  </w:style>
  <w:style w:type="paragraph" w:styleId="Title">
    <w:name w:val="Title"/>
    <w:basedOn w:val="Normal"/>
    <w:next w:val="Normal"/>
    <w:pPr>
      <w:spacing w:before="240" w:line="560" w:lineRule="auto"/>
    </w:pPr>
    <w:rPr>
      <w:rFonts w:ascii="Arial" w:cs="Arial" w:eastAsia="Arial" w:hAnsi="Arial"/>
      <w:color w:val="046b5c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8.0" w:type="dxa"/>
        <w:left w:w="0.0" w:type="dxa"/>
        <w:bottom w:w="58.0" w:type="dxa"/>
        <w:right w:w="0.0" w:type="dxa"/>
      </w:tblCellMar>
    </w:tblPr>
    <w:tblStylePr w:type="band1Horz">
      <w:pPr>
        <w:spacing w:after="0" w:before="0" w:line="240" w:lineRule="auto"/>
      </w:pPr>
    </w:tblStylePr>
    <w:tblStylePr w:type="band2Horz">
      <w:pPr>
        <w:spacing w:after="0" w:before="0" w:line="240" w:lineRule="auto"/>
      </w:pPr>
      <w:tcPr>
        <w:shd w:fill="e0d4b5" w:val="clear"/>
      </w:tcPr>
    </w:tblStylePr>
    <w:tblStylePr w:type="firstCol">
      <w:pPr>
        <w:spacing w:after="0" w:before="0" w:lineRule="auto"/>
        <w:jc w:val="left"/>
      </w:pPr>
      <w:rPr>
        <w:color w:val="000000"/>
      </w:rPr>
      <w:tcPr>
        <w:shd w:fill="e0d4b5" w:val="clear"/>
      </w:tcPr>
    </w:tblStylePr>
    <w:tblStylePr w:type="firstRow">
      <w:pPr>
        <w:spacing w:after="0" w:before="0" w:line="240" w:lineRule="auto"/>
        <w:ind w:left="0" w:right="0" w:firstLine="0"/>
        <w:jc w:val="left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18"/>
        <w:szCs w:val="18"/>
        <w:u w:val="none"/>
        <w:vertAlign w:val="baseline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046b5c" w:val="clear"/>
      </w:tcPr>
    </w:tblStylePr>
    <w:tblStylePr w:type="lastCol">
      <w:pPr>
        <w:jc w:val="left"/>
      </w:pPr>
    </w:tblStylePr>
    <w:tblStylePr w:type="lastRow">
      <w:pPr>
        <w:jc w:val="left"/>
      </w:pPr>
      <w:rPr>
        <w:b w:val="0"/>
        <w:color w:val="ffffff"/>
      </w:rPr>
      <w:tcPr>
        <w:shd w:fill="046b5c" w:val="clear"/>
        <w:vAlign w:val="center"/>
      </w:tcPr>
    </w:tblStylePr>
    <w:tblStylePr w:type="nwCell">
      <w:pPr>
        <w:spacing w:after="0" w:before="0" w:line="240" w:lineRule="auto"/>
        <w:ind w:left="0" w:right="0" w:firstLine="0"/>
        <w:jc w:val="left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18"/>
        <w:szCs w:val="18"/>
        <w:u w:val="none"/>
        <w:vertAlign w:val="baseline"/>
      </w:rPr>
      <w:tcPr>
        <w:shd w:fill="046b5c" w:val="clear"/>
      </w:tcPr>
    </w:tblStylePr>
    <w:tblStylePr w:type="seCell">
      <w:pPr>
        <w:jc w:val="left"/>
      </w:pPr>
      <w:tcPr>
        <w:vAlign w:val="center"/>
      </w:tcPr>
    </w:tblStylePr>
  </w:style>
  <w:style w:type="table" w:styleId="Table2">
    <w:basedOn w:val="TableNormal"/>
    <w:pPr>
      <w:spacing w:after="0" w:before="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8.0" w:type="dxa"/>
        <w:left w:w="0.0" w:type="dxa"/>
        <w:bottom w:w="58.0" w:type="dxa"/>
        <w:right w:w="0.0" w:type="dxa"/>
      </w:tblCellMar>
    </w:tblPr>
    <w:tblStylePr w:type="band1Horz">
      <w:pPr>
        <w:spacing w:after="0" w:before="0" w:line="240" w:lineRule="auto"/>
      </w:pPr>
    </w:tblStylePr>
    <w:tblStylePr w:type="band2Horz">
      <w:pPr>
        <w:spacing w:after="0" w:before="0" w:line="240" w:lineRule="auto"/>
      </w:pPr>
      <w:tcPr>
        <w:shd w:fill="e0d4b5" w:val="clear"/>
      </w:tcPr>
    </w:tblStylePr>
    <w:tblStylePr w:type="firstCol">
      <w:pPr>
        <w:spacing w:after="0" w:before="0" w:lineRule="auto"/>
        <w:jc w:val="left"/>
      </w:pPr>
      <w:rPr>
        <w:color w:val="000000"/>
      </w:rPr>
      <w:tcPr>
        <w:shd w:fill="e0d4b5" w:val="clear"/>
      </w:tcPr>
    </w:tblStylePr>
    <w:tblStylePr w:type="firstRow">
      <w:pPr>
        <w:spacing w:after="0" w:before="0" w:line="240" w:lineRule="auto"/>
        <w:ind w:left="0" w:right="0" w:firstLine="0"/>
        <w:jc w:val="left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18"/>
        <w:szCs w:val="18"/>
        <w:u w:val="none"/>
        <w:vertAlign w:val="baseline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046b5c" w:val="clear"/>
      </w:tcPr>
    </w:tblStylePr>
    <w:tblStylePr w:type="lastCol">
      <w:pPr>
        <w:jc w:val="left"/>
      </w:pPr>
    </w:tblStylePr>
    <w:tblStylePr w:type="lastRow">
      <w:pPr>
        <w:jc w:val="left"/>
      </w:pPr>
      <w:rPr>
        <w:b w:val="0"/>
        <w:color w:val="ffffff"/>
      </w:rPr>
      <w:tcPr>
        <w:shd w:fill="046b5c" w:val="clear"/>
        <w:vAlign w:val="center"/>
      </w:tcPr>
    </w:tblStylePr>
    <w:tblStylePr w:type="nwCell">
      <w:pPr>
        <w:spacing w:after="0" w:before="0" w:line="240" w:lineRule="auto"/>
        <w:ind w:left="0" w:right="0" w:firstLine="0"/>
        <w:jc w:val="left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18"/>
        <w:szCs w:val="18"/>
        <w:u w:val="none"/>
        <w:vertAlign w:val="baseline"/>
      </w:rPr>
      <w:tcPr>
        <w:shd w:fill="046b5c" w:val="clear"/>
      </w:tcPr>
    </w:tblStylePr>
    <w:tblStylePr w:type="seCell">
      <w:pPr>
        <w:jc w:val="left"/>
      </w:pPr>
      <w:tcPr>
        <w:vAlign w:val="center"/>
      </w:tcPr>
    </w:tblStylePr>
  </w:style>
  <w:style w:type="table" w:styleId="Table3">
    <w:basedOn w:val="TableNormal"/>
    <w:pPr>
      <w:spacing w:after="0" w:before="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8.0" w:type="dxa"/>
        <w:left w:w="0.0" w:type="dxa"/>
        <w:bottom w:w="58.0" w:type="dxa"/>
        <w:right w:w="0.0" w:type="dxa"/>
      </w:tblCellMar>
    </w:tblPr>
    <w:tblStylePr w:type="band1Horz">
      <w:pPr>
        <w:spacing w:after="0" w:before="0" w:line="240" w:lineRule="auto"/>
      </w:pPr>
    </w:tblStylePr>
    <w:tblStylePr w:type="band2Horz">
      <w:pPr>
        <w:spacing w:after="0" w:before="0" w:line="240" w:lineRule="auto"/>
      </w:pPr>
      <w:tcPr>
        <w:shd w:fill="e0d4b5" w:val="clear"/>
      </w:tcPr>
    </w:tblStylePr>
    <w:tblStylePr w:type="firstCol">
      <w:pPr>
        <w:spacing w:after="0" w:before="0" w:lineRule="auto"/>
        <w:jc w:val="left"/>
      </w:pPr>
      <w:rPr>
        <w:color w:val="000000"/>
      </w:rPr>
      <w:tcPr>
        <w:shd w:fill="e0d4b5" w:val="clear"/>
      </w:tcPr>
    </w:tblStylePr>
    <w:tblStylePr w:type="firstRow">
      <w:pPr>
        <w:spacing w:after="0" w:before="0" w:line="240" w:lineRule="auto"/>
        <w:ind w:left="0" w:right="0" w:firstLine="0"/>
        <w:jc w:val="left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18"/>
        <w:szCs w:val="18"/>
        <w:u w:val="none"/>
        <w:vertAlign w:val="baseline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046b5c" w:val="clear"/>
      </w:tcPr>
    </w:tblStylePr>
    <w:tblStylePr w:type="lastCol">
      <w:pPr>
        <w:jc w:val="left"/>
      </w:pPr>
    </w:tblStylePr>
    <w:tblStylePr w:type="lastRow">
      <w:pPr>
        <w:jc w:val="left"/>
      </w:pPr>
      <w:rPr>
        <w:b w:val="0"/>
        <w:color w:val="ffffff"/>
      </w:rPr>
      <w:tcPr>
        <w:shd w:fill="046b5c" w:val="clear"/>
        <w:vAlign w:val="center"/>
      </w:tcPr>
    </w:tblStylePr>
    <w:tblStylePr w:type="nwCell">
      <w:pPr>
        <w:spacing w:after="0" w:before="0" w:line="240" w:lineRule="auto"/>
        <w:ind w:left="0" w:right="0" w:firstLine="0"/>
        <w:jc w:val="left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18"/>
        <w:szCs w:val="18"/>
        <w:u w:val="none"/>
        <w:vertAlign w:val="baseline"/>
      </w:rPr>
      <w:tcPr>
        <w:shd w:fill="046b5c" w:val="clear"/>
      </w:tcPr>
    </w:tblStylePr>
    <w:tblStylePr w:type="seCell">
      <w:pPr>
        <w:jc w:val="left"/>
      </w:pPr>
      <w:tcPr>
        <w:vAlign w:val="center"/>
      </w:tcPr>
    </w:tblStylePr>
  </w:style>
  <w:style w:type="table" w:styleId="Table4">
    <w:basedOn w:val="TableNormal"/>
    <w:pPr>
      <w:spacing w:after="0" w:before="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8.0" w:type="dxa"/>
        <w:left w:w="0.0" w:type="dxa"/>
        <w:bottom w:w="58.0" w:type="dxa"/>
        <w:right w:w="0.0" w:type="dxa"/>
      </w:tblCellMar>
    </w:tblPr>
    <w:tblStylePr w:type="band1Horz">
      <w:pPr>
        <w:spacing w:after="0" w:before="0" w:line="240" w:lineRule="auto"/>
      </w:pPr>
    </w:tblStylePr>
    <w:tblStylePr w:type="band2Horz">
      <w:pPr>
        <w:spacing w:after="0" w:before="0" w:line="240" w:lineRule="auto"/>
      </w:pPr>
      <w:tcPr>
        <w:shd w:fill="e0d4b5" w:val="clear"/>
      </w:tcPr>
    </w:tblStylePr>
    <w:tblStylePr w:type="firstCol">
      <w:pPr>
        <w:spacing w:after="0" w:before="0" w:lineRule="auto"/>
        <w:jc w:val="left"/>
      </w:pPr>
      <w:rPr>
        <w:color w:val="000000"/>
      </w:rPr>
      <w:tcPr>
        <w:shd w:fill="e0d4b5" w:val="clear"/>
      </w:tcPr>
    </w:tblStylePr>
    <w:tblStylePr w:type="firstRow">
      <w:pPr>
        <w:spacing w:after="0" w:before="0" w:line="240" w:lineRule="auto"/>
        <w:ind w:left="0" w:right="0" w:firstLine="0"/>
        <w:jc w:val="left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18"/>
        <w:szCs w:val="18"/>
        <w:u w:val="none"/>
        <w:vertAlign w:val="baseline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046b5c" w:val="clear"/>
      </w:tcPr>
    </w:tblStylePr>
    <w:tblStylePr w:type="lastCol">
      <w:pPr>
        <w:jc w:val="left"/>
      </w:pPr>
    </w:tblStylePr>
    <w:tblStylePr w:type="lastRow">
      <w:pPr>
        <w:jc w:val="left"/>
      </w:pPr>
      <w:rPr>
        <w:b w:val="0"/>
        <w:color w:val="ffffff"/>
      </w:rPr>
      <w:tcPr>
        <w:shd w:fill="046b5c" w:val="clear"/>
        <w:vAlign w:val="center"/>
      </w:tcPr>
    </w:tblStylePr>
    <w:tblStylePr w:type="nwCell">
      <w:pPr>
        <w:spacing w:after="0" w:before="0" w:line="240" w:lineRule="auto"/>
        <w:ind w:left="0" w:right="0" w:firstLine="0"/>
        <w:jc w:val="left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18"/>
        <w:szCs w:val="18"/>
        <w:u w:val="none"/>
        <w:vertAlign w:val="baseline"/>
      </w:rPr>
      <w:tcPr>
        <w:shd w:fill="046b5c" w:val="clear"/>
      </w:tcPr>
    </w:tblStylePr>
    <w:tblStylePr w:type="seCell">
      <w:pPr>
        <w:jc w:val="left"/>
      </w:pPr>
      <w:tcPr>
        <w:vAlign w:val="center"/>
      </w:tcPr>
    </w:tblStylePr>
  </w:style>
  <w:style w:type="table" w:styleId="Table5">
    <w:basedOn w:val="TableNormal"/>
    <w:pPr>
      <w:spacing w:after="0" w:before="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8.0" w:type="dxa"/>
        <w:left w:w="0.0" w:type="dxa"/>
        <w:bottom w:w="58.0" w:type="dxa"/>
        <w:right w:w="0.0" w:type="dxa"/>
      </w:tblCellMar>
    </w:tblPr>
    <w:tblStylePr w:type="band1Horz">
      <w:pPr>
        <w:spacing w:after="0" w:before="0" w:line="240" w:lineRule="auto"/>
      </w:pPr>
    </w:tblStylePr>
    <w:tblStylePr w:type="band2Horz">
      <w:pPr>
        <w:spacing w:after="0" w:before="0" w:line="240" w:lineRule="auto"/>
      </w:pPr>
      <w:tcPr>
        <w:shd w:fill="e0d4b5" w:val="clear"/>
      </w:tcPr>
    </w:tblStylePr>
    <w:tblStylePr w:type="firstCol">
      <w:pPr>
        <w:spacing w:after="0" w:before="0" w:lineRule="auto"/>
        <w:jc w:val="left"/>
      </w:pPr>
      <w:rPr>
        <w:color w:val="000000"/>
      </w:rPr>
      <w:tcPr>
        <w:shd w:fill="e0d4b5" w:val="clear"/>
      </w:tcPr>
    </w:tblStylePr>
    <w:tblStylePr w:type="firstRow">
      <w:pPr>
        <w:spacing w:after="0" w:before="0" w:line="240" w:lineRule="auto"/>
        <w:ind w:left="0" w:right="0" w:firstLine="0"/>
        <w:jc w:val="left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18"/>
        <w:szCs w:val="18"/>
        <w:u w:val="none"/>
        <w:vertAlign w:val="baseline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046b5c" w:val="clear"/>
      </w:tcPr>
    </w:tblStylePr>
    <w:tblStylePr w:type="lastCol">
      <w:pPr>
        <w:jc w:val="left"/>
      </w:pPr>
    </w:tblStylePr>
    <w:tblStylePr w:type="lastRow">
      <w:pPr>
        <w:jc w:val="left"/>
      </w:pPr>
      <w:rPr>
        <w:b w:val="0"/>
        <w:color w:val="ffffff"/>
      </w:rPr>
      <w:tcPr>
        <w:shd w:fill="046b5c" w:val="clear"/>
        <w:vAlign w:val="center"/>
      </w:tcPr>
    </w:tblStylePr>
    <w:tblStylePr w:type="nwCell">
      <w:pPr>
        <w:spacing w:after="0" w:before="0" w:line="240" w:lineRule="auto"/>
        <w:ind w:left="0" w:right="0" w:firstLine="0"/>
        <w:jc w:val="left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18"/>
        <w:szCs w:val="18"/>
        <w:u w:val="none"/>
        <w:vertAlign w:val="baseline"/>
      </w:rPr>
      <w:tcPr>
        <w:shd w:fill="046b5c" w:val="clear"/>
      </w:tcPr>
    </w:tblStylePr>
    <w:tblStylePr w:type="seCell">
      <w:pPr>
        <w:jc w:val="left"/>
      </w:pPr>
      <w:tcPr>
        <w:vAlign w:val="center"/>
      </w:tcPr>
    </w:tblStylePr>
  </w:style>
  <w:style w:type="table" w:styleId="Table6">
    <w:basedOn w:val="TableNormal"/>
    <w:pPr>
      <w:spacing w:after="0" w:before="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8.0" w:type="dxa"/>
        <w:left w:w="0.0" w:type="dxa"/>
        <w:bottom w:w="58.0" w:type="dxa"/>
        <w:right w:w="0.0" w:type="dxa"/>
      </w:tblCellMar>
    </w:tblPr>
    <w:tblStylePr w:type="band1Horz">
      <w:pPr>
        <w:spacing w:after="0" w:before="0" w:line="240" w:lineRule="auto"/>
      </w:pPr>
    </w:tblStylePr>
    <w:tblStylePr w:type="band2Horz">
      <w:pPr>
        <w:spacing w:after="0" w:before="0" w:line="240" w:lineRule="auto"/>
      </w:pPr>
      <w:tcPr>
        <w:shd w:fill="e0d4b5" w:val="clear"/>
      </w:tcPr>
    </w:tblStylePr>
    <w:tblStylePr w:type="firstCol">
      <w:pPr>
        <w:spacing w:after="0" w:before="0" w:lineRule="auto"/>
        <w:jc w:val="left"/>
      </w:pPr>
      <w:rPr>
        <w:color w:val="000000"/>
      </w:rPr>
      <w:tcPr>
        <w:shd w:fill="e0d4b5" w:val="clear"/>
      </w:tcPr>
    </w:tblStylePr>
    <w:tblStylePr w:type="firstRow">
      <w:pPr>
        <w:spacing w:after="0" w:before="0" w:line="240" w:lineRule="auto"/>
        <w:ind w:left="0" w:right="0" w:firstLine="0"/>
        <w:jc w:val="left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18"/>
        <w:szCs w:val="18"/>
        <w:u w:val="none"/>
        <w:vertAlign w:val="baseline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046b5c" w:val="clear"/>
      </w:tcPr>
    </w:tblStylePr>
    <w:tblStylePr w:type="lastCol">
      <w:pPr>
        <w:jc w:val="left"/>
      </w:pPr>
    </w:tblStylePr>
    <w:tblStylePr w:type="lastRow">
      <w:pPr>
        <w:jc w:val="left"/>
      </w:pPr>
      <w:rPr>
        <w:b w:val="0"/>
        <w:color w:val="ffffff"/>
      </w:rPr>
      <w:tcPr>
        <w:shd w:fill="046b5c" w:val="clear"/>
        <w:vAlign w:val="center"/>
      </w:tcPr>
    </w:tblStylePr>
    <w:tblStylePr w:type="nwCell">
      <w:pPr>
        <w:spacing w:after="0" w:before="0" w:line="240" w:lineRule="auto"/>
        <w:ind w:left="0" w:right="0" w:firstLine="0"/>
        <w:jc w:val="left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18"/>
        <w:szCs w:val="18"/>
        <w:u w:val="none"/>
        <w:vertAlign w:val="baseline"/>
      </w:rPr>
      <w:tcPr>
        <w:shd w:fill="046b5c" w:val="clear"/>
      </w:tcPr>
    </w:tblStylePr>
    <w:tblStylePr w:type="seCell">
      <w:pPr>
        <w:jc w:val="left"/>
      </w:pPr>
      <w:tcPr>
        <w:vAlign w:val="center"/>
      </w:tcPr>
    </w:tblStylePr>
  </w:style>
  <w:style w:type="table" w:styleId="Table7">
    <w:basedOn w:val="TableNormal"/>
    <w:pPr>
      <w:spacing w:after="0" w:before="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8.0" w:type="dxa"/>
        <w:left w:w="0.0" w:type="dxa"/>
        <w:bottom w:w="58.0" w:type="dxa"/>
        <w:right w:w="0.0" w:type="dxa"/>
      </w:tblCellMar>
    </w:tblPr>
    <w:tblStylePr w:type="band1Horz">
      <w:pPr>
        <w:spacing w:after="0" w:before="0" w:line="240" w:lineRule="auto"/>
      </w:pPr>
    </w:tblStylePr>
    <w:tblStylePr w:type="band2Horz">
      <w:pPr>
        <w:spacing w:after="0" w:before="0" w:line="240" w:lineRule="auto"/>
      </w:pPr>
      <w:tcPr>
        <w:shd w:fill="e0d4b5" w:val="clear"/>
      </w:tcPr>
    </w:tblStylePr>
    <w:tblStylePr w:type="firstCol">
      <w:pPr>
        <w:spacing w:after="0" w:before="0" w:lineRule="auto"/>
        <w:jc w:val="left"/>
      </w:pPr>
      <w:rPr>
        <w:color w:val="000000"/>
      </w:rPr>
      <w:tcPr>
        <w:shd w:fill="e0d4b5" w:val="clear"/>
      </w:tcPr>
    </w:tblStylePr>
    <w:tblStylePr w:type="firstRow">
      <w:pPr>
        <w:spacing w:after="0" w:before="0" w:line="240" w:lineRule="auto"/>
        <w:ind w:left="0" w:right="0" w:firstLine="0"/>
        <w:jc w:val="left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18"/>
        <w:szCs w:val="18"/>
        <w:u w:val="none"/>
        <w:vertAlign w:val="baseline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046b5c" w:val="clear"/>
      </w:tcPr>
    </w:tblStylePr>
    <w:tblStylePr w:type="lastCol">
      <w:pPr>
        <w:jc w:val="left"/>
      </w:pPr>
    </w:tblStylePr>
    <w:tblStylePr w:type="lastRow">
      <w:pPr>
        <w:jc w:val="left"/>
      </w:pPr>
      <w:rPr>
        <w:b w:val="0"/>
        <w:color w:val="ffffff"/>
      </w:rPr>
      <w:tcPr>
        <w:shd w:fill="046b5c" w:val="clear"/>
        <w:vAlign w:val="center"/>
      </w:tcPr>
    </w:tblStylePr>
    <w:tblStylePr w:type="nwCell">
      <w:pPr>
        <w:spacing w:after="0" w:before="0" w:line="240" w:lineRule="auto"/>
        <w:ind w:left="0" w:right="0" w:firstLine="0"/>
        <w:jc w:val="left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18"/>
        <w:szCs w:val="18"/>
        <w:u w:val="none"/>
        <w:vertAlign w:val="baseline"/>
      </w:rPr>
      <w:tcPr>
        <w:shd w:fill="046b5c" w:val="clear"/>
      </w:tcPr>
    </w:tblStylePr>
    <w:tblStylePr w:type="seCell">
      <w:pPr>
        <w:jc w:val="left"/>
      </w:pPr>
      <w:tcPr>
        <w:vAlign w:val="center"/>
      </w:tcPr>
    </w:tblStylePr>
  </w:style>
  <w:style w:type="table" w:styleId="Table8">
    <w:basedOn w:val="TableNormal"/>
    <w:pPr>
      <w:spacing w:after="0" w:before="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8.0" w:type="dxa"/>
        <w:left w:w="0.0" w:type="dxa"/>
        <w:bottom w:w="58.0" w:type="dxa"/>
        <w:right w:w="0.0" w:type="dxa"/>
      </w:tblCellMar>
    </w:tblPr>
    <w:tblStylePr w:type="band1Horz">
      <w:pPr>
        <w:spacing w:after="0" w:before="0" w:line="240" w:lineRule="auto"/>
      </w:pPr>
    </w:tblStylePr>
    <w:tblStylePr w:type="band2Horz">
      <w:pPr>
        <w:spacing w:after="0" w:before="0" w:line="240" w:lineRule="auto"/>
      </w:pPr>
      <w:tcPr>
        <w:shd w:fill="e0d4b5" w:val="clear"/>
      </w:tcPr>
    </w:tblStylePr>
    <w:tblStylePr w:type="firstCol">
      <w:pPr>
        <w:spacing w:after="0" w:before="0" w:lineRule="auto"/>
        <w:jc w:val="left"/>
      </w:pPr>
      <w:rPr>
        <w:color w:val="000000"/>
      </w:rPr>
      <w:tcPr>
        <w:shd w:fill="e0d4b5" w:val="clear"/>
      </w:tcPr>
    </w:tblStylePr>
    <w:tblStylePr w:type="firstRow">
      <w:pPr>
        <w:spacing w:after="0" w:before="0" w:line="240" w:lineRule="auto"/>
        <w:ind w:left="0" w:right="0" w:firstLine="0"/>
        <w:jc w:val="left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18"/>
        <w:szCs w:val="18"/>
        <w:u w:val="none"/>
        <w:vertAlign w:val="baseline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046b5c" w:val="clear"/>
      </w:tcPr>
    </w:tblStylePr>
    <w:tblStylePr w:type="lastCol">
      <w:pPr>
        <w:jc w:val="left"/>
      </w:pPr>
    </w:tblStylePr>
    <w:tblStylePr w:type="lastRow">
      <w:pPr>
        <w:jc w:val="left"/>
      </w:pPr>
      <w:rPr>
        <w:b w:val="0"/>
        <w:color w:val="ffffff"/>
      </w:rPr>
      <w:tcPr>
        <w:shd w:fill="046b5c" w:val="clear"/>
        <w:vAlign w:val="center"/>
      </w:tcPr>
    </w:tblStylePr>
    <w:tblStylePr w:type="nwCell">
      <w:pPr>
        <w:spacing w:after="0" w:before="0" w:line="240" w:lineRule="auto"/>
        <w:ind w:left="0" w:right="0" w:firstLine="0"/>
        <w:jc w:val="left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18"/>
        <w:szCs w:val="18"/>
        <w:u w:val="none"/>
        <w:vertAlign w:val="baseline"/>
      </w:rPr>
      <w:tcPr>
        <w:shd w:fill="046b5c" w:val="clear"/>
      </w:tcPr>
    </w:tblStylePr>
    <w:tblStylePr w:type="seCell">
      <w:pPr>
        <w:jc w:val="left"/>
      </w:pPr>
      <w:tcPr>
        <w:vAlign w:val="cente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stop-nextgen.mathematica-mpr.com/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