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E293B"/>
          <w:sz w:val="34"/>
        </w:rPr>
        <w:t>2022 개정 교육과정 {{ subject_name }}과 평가계획서</w:t>
      </w:r>
    </w:p>
    <w:p/>
    <w:p>
      <w:r>
        <w:rPr>
          <w:rFonts w:ascii="맑은 고딕" w:hAnsi="맑은 고딕"/>
          <w:b/>
          <w:color w:val="2563EB"/>
          <w:sz w:val="24"/>
        </w:rPr>
        <w:t>1. 기본 정보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val="clear" w:color="auto" w:fill="F1F5F9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학교급 및 학년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{{ school_info }}</w:t>
            </w:r>
          </w:p>
        </w:tc>
      </w:tr>
      <w:tr>
        <w:tc>
          <w:tcPr>
            <w:tcW w:type="dxa" w:w="4968"/>
            <w:vAlign w:val="center"/>
            <w:shd w:val="clear" w:color="auto" w:fill="F1F5F9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지필평가 비율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{{ paper_info }}</w:t>
            </w:r>
          </w:p>
        </w:tc>
      </w:tr>
    </w:tbl>
    <w:p/>
    <w:p>
      <w:r>
        <w:rPr>
          <w:rFonts w:ascii="맑은 고딕" w:hAnsi="맑은 고딕"/>
          <w:b/>
          <w:color w:val="2563EB"/>
          <w:sz w:val="24"/>
        </w:rPr>
        <w:t>2. 평가의 목적</w:t>
      </w:r>
    </w:p>
    <w:p>
      <w:r>
        <w:rPr>
          <w:rFonts w:ascii="맑은 고딕" w:hAnsi="맑은 고딕"/>
          <w:sz w:val="20"/>
        </w:rPr>
        <w:t>{{ eval_purpose }}</w:t>
      </w:r>
    </w:p>
    <w:p/>
    <w:p>
      <w:r>
        <w:rPr>
          <w:rFonts w:ascii="맑은 고딕" w:hAnsi="맑은 고딕"/>
          <w:b/>
          <w:color w:val="2563EB"/>
          <w:sz w:val="24"/>
        </w:rPr>
        <w:t>3. 평가의 기본 방향과 방침</w:t>
      </w:r>
    </w:p>
    <w:p>
      <w:r>
        <w:rPr>
          <w:rFonts w:ascii="맑은 고딕" w:hAnsi="맑은 고딕"/>
          <w:b/>
          <w:sz w:val="21"/>
        </w:rPr>
        <w:t xml:space="preserve">  가. 기본 방향</w:t>
      </w:r>
    </w:p>
    <w:p>
      <w:r>
        <w:rPr>
          <w:rFonts w:ascii="맑은 고딕" w:hAnsi="맑은 고딕"/>
          <w:sz w:val="20"/>
        </w:rPr>
        <w:t>{{ eval_direction }}</w:t>
      </w:r>
    </w:p>
    <w:p>
      <w:r>
        <w:rPr>
          <w:rFonts w:ascii="맑은 고딕" w:hAnsi="맑은 고딕"/>
          <w:b/>
          <w:sz w:val="21"/>
        </w:rPr>
        <w:t xml:space="preserve">  나. 방침</w:t>
      </w:r>
    </w:p>
    <w:p>
      <w:r>
        <w:rPr>
          <w:rFonts w:ascii="맑은 고딕" w:hAnsi="맑은 고딕"/>
          <w:sz w:val="20"/>
        </w:rPr>
        <w:t xml:space="preserve">    1) 성적반영 비율은 지필평가 {{ paper_ratio_sum }}%, 수행평가 {{ perf_ratio_sum }}%로 한다.</w:t>
      </w:r>
    </w:p>
    <w:p>
      <w:r>
        <w:rPr>
          <w:rFonts w:ascii="맑은 고딕" w:hAnsi="맑은 고딕"/>
          <w:sz w:val="20"/>
        </w:rPr>
        <w:t xml:space="preserve">    2) 지필평가는 {{ paper_count }}회 실시한다.</w:t>
      </w:r>
    </w:p>
    <w:p>
      <w:r>
        <w:rPr>
          <w:rFonts w:ascii="맑은 고딕" w:hAnsi="맑은 고딕"/>
          <w:sz w:val="20"/>
        </w:rPr>
        <w:t xml:space="preserve">    3) 논술형 평가는 수업 중에 실시하며, 단편적인 지식이나 하나의 정답만을 요구하기보다는 학생들이 생각한 바를 논리적으로 조직하여 표현하는 능력과 학습 내용에 대한 종합적인 이해와 고차원적인 학습 결과를 측정하도록 한다.</w:t>
      </w:r>
    </w:p>
    <w:p>
      <w:r>
        <w:rPr>
          <w:rFonts w:ascii="맑은 고딕" w:hAnsi="맑은 고딕"/>
          <w:sz w:val="20"/>
        </w:rPr>
        <w:t xml:space="preserve">    4) 논술형 평가 문제 출제 시 구체적인 채점기준안을 마련하여 공동 채점한다. 단, 논술형 평가에서 인정 답안에 제시된 답안의 범위에서 벗어나는 경우 교과협의를 거쳐 객관적이고 신뢰성 있는 평가가 되도록 한다.</w:t>
      </w:r>
    </w:p>
    <w:p>
      <w:r>
        <w:rPr>
          <w:rFonts w:ascii="맑은 고딕" w:hAnsi="맑은 고딕"/>
          <w:sz w:val="20"/>
        </w:rPr>
        <w:t xml:space="preserve">    5) 동 학년 교사들 간에 평가 협의를 통하여 다양한 평가 방법과 기법 및 도구를 활용하여 객관적이고도 신뢰성 있는 평가를 실시한다.</w:t>
      </w:r>
    </w:p>
    <w:p>
      <w:r>
        <w:rPr>
          <w:rFonts w:ascii="맑은 고딕" w:hAnsi="맑은 고딕"/>
          <w:sz w:val="20"/>
        </w:rPr>
        <w:t xml:space="preserve">    6) 평가 결과는 학생들의 전인적인 발달을 도모하고 교수․학습을 개선하는데 필요한 자료로 활용할 수 있도록 한다.</w:t>
      </w:r>
    </w:p>
    <w:p/>
    <w:p>
      <w:r>
        <w:rPr>
          <w:rFonts w:ascii="맑은 고딕" w:hAnsi="맑은 고딕"/>
          <w:b/>
          <w:color w:val="2563EB"/>
          <w:sz w:val="24"/>
        </w:rPr>
        <w:t>4. 수행평가 세부 영역 및 성취수준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2E8F0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수행평가 영역명 (비율)</w:t>
            </w:r>
          </w:p>
        </w:tc>
        <w:tc>
          <w:tcPr>
            <w:tcW w:type="dxa" w:w="3312"/>
            <w:shd w:val="clear" w:color="auto" w:fill="E2E8F0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성취기준</w:t>
            </w:r>
          </w:p>
        </w:tc>
        <w:tc>
          <w:tcPr>
            <w:tcW w:type="dxa" w:w="3312"/>
            <w:shd w:val="clear" w:color="auto" w:fill="E2E8F0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성취수준 (상 / 중 / 하)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{% for item in perf_evals %}{{ item.name }}</w:t>
              <w:br/>
              <w:t>({{ item.ratio }}%)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8"/>
              </w:rPr>
              <w:t>{{ item.standard }}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b/>
                <w:color w:val="1D4ED8"/>
                <w:sz w:val="17"/>
              </w:rPr>
              <w:t>[상] {{ item.eval_high }}</w:t>
              <w:br/>
              <w:br/>
            </w:r>
            <w:r>
              <w:rPr>
                <w:rFonts w:ascii="맑은 고딕" w:hAnsi="맑은 고딕"/>
                <w:b/>
                <w:color w:val="D97706"/>
                <w:sz w:val="17"/>
              </w:rPr>
              <w:t>[중] {{ item.eval_mid }}</w:t>
              <w:br/>
              <w:br/>
            </w:r>
            <w:r>
              <w:rPr>
                <w:rFonts w:ascii="맑은 고딕" w:hAnsi="맑은 고딕"/>
                <w:b/>
                <w:color w:val="DC2626"/>
                <w:sz w:val="17"/>
              </w:rPr>
              <w:t>[하] {{ item.eval_low }}</w:t>
            </w:r>
            <w:r>
              <w:rPr>
                <w:rFonts w:ascii="맑은 고딕" w:hAnsi="맑은 고딕"/>
                <w:sz w:val="2"/>
              </w:rPr>
              <w:t>{% endfor %}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