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925" w:rsidRDefault="00222684">
      <w:pPr>
        <w:jc w:val="center"/>
        <w:rPr>
          <w:b/>
        </w:rPr>
      </w:pPr>
      <w:r>
        <w:rPr>
          <w:b/>
        </w:rPr>
        <w:t xml:space="preserve">BENG 213 - Metabolic Promiscuity in </w:t>
      </w:r>
      <w:r>
        <w:rPr>
          <w:b/>
          <w:i/>
        </w:rPr>
        <w:t>E.coli</w:t>
      </w:r>
      <w:r>
        <w:rPr>
          <w:b/>
        </w:rPr>
        <w:t xml:space="preserve"> - Checkpoint 2</w:t>
      </w:r>
    </w:p>
    <w:p w:rsidR="00554925" w:rsidRDefault="00222684">
      <w:pPr>
        <w:jc w:val="center"/>
      </w:pPr>
      <w:r>
        <w:t>Jason Hyun, Kevin Glass</w:t>
      </w:r>
    </w:p>
    <w:p w:rsidR="00554925" w:rsidRDefault="00554925">
      <w:pPr>
        <w:jc w:val="center"/>
      </w:pPr>
    </w:p>
    <w:p w:rsidR="00554925" w:rsidRDefault="00222684">
      <w:pPr>
        <w:rPr>
          <w:b/>
        </w:rPr>
      </w:pPr>
      <w:r>
        <w:rPr>
          <w:b/>
        </w:rPr>
        <w:t>Statistical Analysis</w:t>
      </w:r>
    </w:p>
    <w:p w:rsidR="00554925" w:rsidRDefault="00554925"/>
    <w:p w:rsidR="00554925" w:rsidRDefault="00222684">
      <w:pPr>
        <w:rPr>
          <w:i/>
        </w:rPr>
      </w:pPr>
      <w:r>
        <w:rPr>
          <w:i/>
        </w:rPr>
        <w:t>Domain-based characterization of enzymes extracted from iML1515 using CATH</w:t>
      </w:r>
    </w:p>
    <w:p w:rsidR="00554925" w:rsidRDefault="00554925">
      <w:pPr>
        <w:rPr>
          <w:i/>
        </w:rPr>
      </w:pPr>
    </w:p>
    <w:p w:rsidR="00554925" w:rsidRDefault="00222684">
      <w:r>
        <w:tab/>
      </w:r>
      <w:r>
        <w:t>We used the CATH database to characterize enzymes extracted from iML1515 in the previous checkpoint at a protein domain-level. CATH domains were used instead of the existing GEM-Pro domain annotations for two reasons, 1) original annotations were a mixture</w:t>
      </w:r>
      <w:r>
        <w:t xml:space="preserve"> of </w:t>
      </w:r>
      <w:proofErr w:type="spellStart"/>
      <w:r>
        <w:t>SCOPe</w:t>
      </w:r>
      <w:proofErr w:type="spellEnd"/>
      <w:r>
        <w:t xml:space="preserve"> and PDP annotations without a unified hierarchy, and 2) CATH annotations were available for nearly all PDB structures. For each enzyme (defined as a set of genes), we took the PDB ID of each gene in the enzyme from GEM-Pro, then looked up all dom</w:t>
      </w:r>
      <w:r>
        <w:t>ains associated with each PDB using the CATH database to create domain annotations for each enzyme (</w:t>
      </w:r>
      <w:r>
        <w:rPr>
          <w:b/>
        </w:rPr>
        <w:t>Figure 1</w:t>
      </w:r>
      <w:r>
        <w:t>).</w:t>
      </w:r>
    </w:p>
    <w:p w:rsidR="00554925" w:rsidRDefault="00222684">
      <w:pPr>
        <w:jc w:val="center"/>
      </w:pPr>
      <w:r>
        <w:t xml:space="preserve"> </w:t>
      </w:r>
      <w:r w:rsidR="00B92EE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159pt">
            <v:imagedata r:id="rId8" o:title="CATH_Workflow" croptop="12183f" cropbottom="37109f" cropleft="19640f" cropright="22790f"/>
          </v:shape>
        </w:pict>
      </w:r>
    </w:p>
    <w:p w:rsidR="00554925" w:rsidRDefault="00222684">
      <w:pPr>
        <w:jc w:val="center"/>
      </w:pPr>
      <w:r>
        <w:rPr>
          <w:b/>
        </w:rPr>
        <w:t>Figure 1:</w:t>
      </w:r>
      <w:r>
        <w:t xml:space="preserve"> Pipeline for domain annotation of iML1515 enzymes</w:t>
      </w:r>
    </w:p>
    <w:p w:rsidR="00554925" w:rsidRDefault="00554925">
      <w:pPr>
        <w:jc w:val="center"/>
      </w:pPr>
    </w:p>
    <w:p w:rsidR="00554925" w:rsidRDefault="00222684">
      <w:r>
        <w:t>Of the 974 non-transport enzymes derived from iML1515, 523 enzymes had PDB annotations for some or all its genes. Of those, 504 enzymes had CATH annotations for some or all of their associated PDB structu</w:t>
      </w:r>
      <w:r>
        <w:t>res, encompassing 2687 unique CATH domains. 447 enzymes had complete CATH annotations (i.e. all genes had PDBs, which all had CATH annotations).</w:t>
      </w:r>
    </w:p>
    <w:p w:rsidR="00554925" w:rsidRDefault="00554925"/>
    <w:p w:rsidR="00554925" w:rsidRDefault="00222684">
      <w:r>
        <w:rPr>
          <w:i/>
        </w:rPr>
        <w:t>Testing associations between CATH domain classifications and enzyme promiscuity</w:t>
      </w:r>
    </w:p>
    <w:p w:rsidR="00554925" w:rsidRDefault="00554925"/>
    <w:p w:rsidR="00554925" w:rsidRDefault="00222684">
      <w:r>
        <w:tab/>
        <w:t>With these annotations, we a</w:t>
      </w:r>
      <w:r>
        <w:t>imed to test whether there are domains or domain classes in the CATH hierarchy that are associated with enzyme promiscuity. As a preliminary step, we visualized the domain annotations in the hierarchy to a depth of 4 (CATH hierarchy has a depth of 8), at w</w:t>
      </w:r>
      <w:r>
        <w:t>hich most leaf nodes had less than 5 enzymes associated (</w:t>
      </w:r>
      <w:r>
        <w:rPr>
          <w:b/>
        </w:rPr>
        <w:t>Figure 2</w:t>
      </w:r>
      <w:r>
        <w:t>). On visual inspection we could not see any obvious domain classes of significant size that appeared to be strongly associated with either promiscuity or specificity.</w:t>
      </w:r>
    </w:p>
    <w:p w:rsidR="00554925" w:rsidRDefault="00222684">
      <w:r>
        <w:tab/>
        <w:t>To test this more rigo</w:t>
      </w:r>
      <w:r>
        <w:t>rously, we applied a statistical test to all domain classes of size 10 or greater, of which there were 30. For each domain class, a Fisher’s exact test was applied to a 2x2 contingency table constructed based on counts of how many enzymes were in/not in th</w:t>
      </w:r>
      <w:r>
        <w:t xml:space="preserve">e domain class and how many were/were not promiscuous. </w:t>
      </w:r>
    </w:p>
    <w:p w:rsidR="00554925" w:rsidRDefault="00222684">
      <w:r>
        <w:rPr>
          <w:noProof/>
          <w:lang w:val="en-US"/>
        </w:rPr>
        <w:lastRenderedPageBreak/>
        <w:drawing>
          <wp:inline distT="114300" distB="114300" distL="114300" distR="114300">
            <wp:extent cx="5943600" cy="3073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073400"/>
                    </a:xfrm>
                    <a:prstGeom prst="rect">
                      <a:avLst/>
                    </a:prstGeom>
                    <a:ln/>
                  </pic:spPr>
                </pic:pic>
              </a:graphicData>
            </a:graphic>
          </wp:inline>
        </w:drawing>
      </w:r>
    </w:p>
    <w:p w:rsidR="00554925" w:rsidRDefault="00222684">
      <w:pPr>
        <w:jc w:val="center"/>
      </w:pPr>
      <w:r>
        <w:rPr>
          <w:b/>
        </w:rPr>
        <w:t>Figure 2:</w:t>
      </w:r>
      <w:r>
        <w:t xml:space="preserve"> CATH domain hierarchy and enzyme promiscuity in iML1515, depth = 4. Each node corresponds to a CATH domain classification, labeled by the number of enzymes that contain a domain that falls</w:t>
      </w:r>
      <w:r>
        <w:t xml:space="preserve"> into that classification. Nodes are colored based on the fraction of associated enzymes that are promiscuous (red = more promiscuous, blue = less promiscuous).</w:t>
      </w:r>
    </w:p>
    <w:p w:rsidR="00554925" w:rsidRDefault="00554925"/>
    <w:p w:rsidR="00554925" w:rsidRDefault="00222684">
      <w:r>
        <w:t xml:space="preserve">Without any correction, the Fisher’s </w:t>
      </w:r>
      <w:proofErr w:type="gramStart"/>
      <w:r>
        <w:t>Exact</w:t>
      </w:r>
      <w:proofErr w:type="gramEnd"/>
      <w:r>
        <w:t xml:space="preserve"> tests yielded three CATH domain classes that were s</w:t>
      </w:r>
      <w:r>
        <w:t>ignificant at a 5% threshold. However, two of those domain classes (3.40.30 and 3.40.30.10) were identical, as there were no enzymes with domains in the 3.40.30 class that were not also in the 3.40.30.10 subclass:</w:t>
      </w:r>
    </w:p>
    <w:p w:rsidR="00B92EE7" w:rsidRDefault="00B92EE7"/>
    <w:p w:rsidR="00554925" w:rsidRDefault="00222684">
      <w:pPr>
        <w:numPr>
          <w:ilvl w:val="0"/>
          <w:numId w:val="1"/>
        </w:numPr>
        <w:contextualSpacing/>
      </w:pPr>
      <w:r>
        <w:rPr>
          <w:u w:val="single"/>
        </w:rPr>
        <w:t>3.20.20</w:t>
      </w:r>
      <w:r>
        <w:t xml:space="preserve">: </w:t>
      </w:r>
      <w:r>
        <w:tab/>
        <w:t>Size = 58,</w:t>
      </w:r>
      <w:r>
        <w:tab/>
        <w:t>p-value = 0.01467</w:t>
      </w:r>
    </w:p>
    <w:p w:rsidR="00554925" w:rsidRDefault="00222684">
      <w:pPr>
        <w:numPr>
          <w:ilvl w:val="0"/>
          <w:numId w:val="1"/>
        </w:numPr>
        <w:contextualSpacing/>
      </w:pPr>
      <w:r>
        <w:rPr>
          <w:u w:val="single"/>
        </w:rPr>
        <w:t>3.4</w:t>
      </w:r>
      <w:r>
        <w:rPr>
          <w:u w:val="single"/>
        </w:rPr>
        <w:t>0.30</w:t>
      </w:r>
      <w:r>
        <w:t xml:space="preserve">: </w:t>
      </w:r>
      <w:r>
        <w:tab/>
        <w:t xml:space="preserve">Size = 19, </w:t>
      </w:r>
      <w:r>
        <w:tab/>
        <w:t>p-value = 0.04547</w:t>
      </w:r>
    </w:p>
    <w:p w:rsidR="00554925" w:rsidRDefault="00222684">
      <w:pPr>
        <w:numPr>
          <w:ilvl w:val="0"/>
          <w:numId w:val="1"/>
        </w:numPr>
        <w:contextualSpacing/>
      </w:pPr>
      <w:r>
        <w:rPr>
          <w:u w:val="single"/>
        </w:rPr>
        <w:t>3.40.30.10</w:t>
      </w:r>
      <w:r>
        <w:t>:</w:t>
      </w:r>
      <w:r>
        <w:tab/>
        <w:t>Size = 19,</w:t>
      </w:r>
      <w:r>
        <w:tab/>
        <w:t>p-value = 0.04547</w:t>
      </w:r>
    </w:p>
    <w:p w:rsidR="00B92EE7" w:rsidRDefault="00B92EE7" w:rsidP="00B92EE7">
      <w:pPr>
        <w:ind w:left="720"/>
        <w:contextualSpacing/>
      </w:pPr>
    </w:p>
    <w:p w:rsidR="00554925" w:rsidRDefault="00222684">
      <w:r>
        <w:t xml:space="preserve">Since the tests are clearly not independent, we applied a </w:t>
      </w:r>
      <w:proofErr w:type="spellStart"/>
      <w:r>
        <w:t>Bonferroni</w:t>
      </w:r>
      <w:proofErr w:type="spellEnd"/>
      <w:r>
        <w:t xml:space="preserve"> correction. As there were 30 tests, the corrected significance threshold is 0.05/30 = 0.0017 to assure a FWER</w:t>
      </w:r>
      <w:r>
        <w:t xml:space="preserve"> below 5%. At this threshold, no domain classes are significant. Alternatively, with the </w:t>
      </w:r>
      <w:proofErr w:type="spellStart"/>
      <w:r>
        <w:t>Benjamini</w:t>
      </w:r>
      <w:proofErr w:type="spellEnd"/>
      <w:r>
        <w:t>-Hochberg correction to control FDR to be at most 5%, the corrected significant thresholds become (0.05/30, 0.05*2/30, 0.05*3/30) = (0.0017, 0.0033, 0.005) fo</w:t>
      </w:r>
      <w:r>
        <w:t>r the three domain classes when ranked by p-value, respectively. However, even with this less conservative correction, still no domain classes are significant. The controlled FWER or FDR would have to at least 44% (0.01467 * 30) for even a single domain cl</w:t>
      </w:r>
      <w:r>
        <w:t>ass to be considered significant under correction.</w:t>
      </w:r>
    </w:p>
    <w:p w:rsidR="00554925" w:rsidRDefault="00222684">
      <w:r>
        <w:tab/>
        <w:t>This is consistent with our initial observation from the visualization that no large domain class appears to be significantly associated with enzyme promiscuity. This suggests that there is no protein dom</w:t>
      </w:r>
      <w:r>
        <w:t>ain from the CATH database that is individually informative with regards to enzyme promiscuity (though combinations of domains may be more informative). We examine using domain class combinations for predicting promiscuity in the supervised learning sectio</w:t>
      </w:r>
      <w:r>
        <w:t>n.</w:t>
      </w:r>
    </w:p>
    <w:p w:rsidR="00554925" w:rsidRDefault="00222684">
      <w:pPr>
        <w:rPr>
          <w:b/>
        </w:rPr>
      </w:pPr>
      <w:r>
        <w:rPr>
          <w:b/>
        </w:rPr>
        <w:lastRenderedPageBreak/>
        <w:t>Supervised Learning</w:t>
      </w:r>
    </w:p>
    <w:p w:rsidR="00554925" w:rsidRDefault="00554925">
      <w:pPr>
        <w:rPr>
          <w:b/>
        </w:rPr>
      </w:pPr>
    </w:p>
    <w:p w:rsidR="00554925" w:rsidRDefault="00222684">
      <w:r>
        <w:rPr>
          <w:i/>
        </w:rPr>
        <w:t>Encoding CATH domain information as fixed-length vectors</w:t>
      </w:r>
    </w:p>
    <w:p w:rsidR="00554925" w:rsidRDefault="00554925"/>
    <w:p w:rsidR="00554925" w:rsidRDefault="00222684">
      <w:r>
        <w:tab/>
      </w:r>
      <w:r>
        <w:t>Since each enzyme is associated with a variable number of CATH domains, we considered using one-hot encoding to convert this information into fixed-length vectors, where each domain corresponds to a position in a vector that is either 0 or 1 based on the p</w:t>
      </w:r>
      <w:r>
        <w:t>resence or absence of that domain in a given enzyme. However, as there are thousands of unique CATH domains in our dataset, we leveraged the CATH domain hierarchy for dimension reduction. Similar to our statistical analysis, considered only CATH domain cla</w:t>
      </w:r>
      <w:r>
        <w:t>sses that were associated with some minimum number of enzymes. We then excluded CATH domain classes in which all children classes were also included, since a parent class is fully dependent on its child classes. The number of classes extracted at different</w:t>
      </w:r>
      <w:r>
        <w:t xml:space="preserve"> class size thresholds is below (</w:t>
      </w:r>
      <w:r>
        <w:rPr>
          <w:b/>
        </w:rPr>
        <w:t>Table 1</w:t>
      </w:r>
      <w:r>
        <w:t xml:space="preserve">). </w:t>
      </w:r>
    </w:p>
    <w:p w:rsidR="00554925" w:rsidRDefault="00554925"/>
    <w:tbl>
      <w:tblPr>
        <w:tblStyle w:val="a"/>
        <w:tblW w:w="9390" w:type="dxa"/>
        <w:tblInd w:w="-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1227"/>
        <w:gridCol w:w="1227"/>
        <w:gridCol w:w="1227"/>
        <w:gridCol w:w="1227"/>
        <w:gridCol w:w="1227"/>
      </w:tblGrid>
      <w:tr w:rsidR="00554925" w:rsidTr="00B92EE7">
        <w:trPr>
          <w:trHeight w:val="260"/>
        </w:trPr>
        <w:tc>
          <w:tcPr>
            <w:tcW w:w="9390" w:type="dxa"/>
            <w:gridSpan w:val="6"/>
            <w:tcBorders>
              <w:top w:val="nil"/>
              <w:left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pPr>
            <w:r>
              <w:rPr>
                <w:b/>
              </w:rPr>
              <w:t>Table 1</w:t>
            </w:r>
            <w:r>
              <w:t xml:space="preserve">: Number of independent domain classes (equal to the dimension of the corresponding domain-based encoding) at varying minimum thresholds for number of associated enzymes. </w:t>
            </w:r>
          </w:p>
        </w:tc>
      </w:tr>
      <w:tr w:rsidR="00554925">
        <w:tc>
          <w:tcPr>
            <w:tcW w:w="3255" w:type="dxa"/>
            <w:tcBorders>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right"/>
            </w:pPr>
            <w:r>
              <w:t>Minimum Domain Class Size:</w:t>
            </w:r>
          </w:p>
        </w:tc>
        <w:tc>
          <w:tcPr>
            <w:tcW w:w="1227" w:type="dxa"/>
            <w:tcBorders>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pPr>
            <w:r>
              <w:t>5</w:t>
            </w:r>
          </w:p>
        </w:tc>
        <w:tc>
          <w:tcPr>
            <w:tcW w:w="1227" w:type="dxa"/>
            <w:tcBorders>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pPr>
            <w:r>
              <w:t>6</w:t>
            </w:r>
          </w:p>
        </w:tc>
        <w:tc>
          <w:tcPr>
            <w:tcW w:w="1227" w:type="dxa"/>
            <w:tcBorders>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pPr>
            <w:r>
              <w:t>7</w:t>
            </w:r>
          </w:p>
        </w:tc>
        <w:tc>
          <w:tcPr>
            <w:tcW w:w="1227" w:type="dxa"/>
            <w:tcBorders>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pPr>
            <w:r>
              <w:t>8</w:t>
            </w:r>
          </w:p>
        </w:tc>
        <w:tc>
          <w:tcPr>
            <w:tcW w:w="1227" w:type="dxa"/>
            <w:tcBorders>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pPr>
            <w:r>
              <w:t>9</w:t>
            </w:r>
          </w:p>
        </w:tc>
      </w:tr>
      <w:tr w:rsidR="00554925">
        <w:tc>
          <w:tcPr>
            <w:tcW w:w="3255"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right"/>
            </w:pPr>
            <w:r>
              <w:t>Number of Domain Classes:</w:t>
            </w:r>
          </w:p>
        </w:tc>
        <w:tc>
          <w:tcPr>
            <w:tcW w:w="1227"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pPr>
            <w:r>
              <w:t>67</w:t>
            </w:r>
          </w:p>
        </w:tc>
        <w:tc>
          <w:tcPr>
            <w:tcW w:w="1227"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pPr>
            <w:r>
              <w:t>51</w:t>
            </w:r>
          </w:p>
        </w:tc>
        <w:tc>
          <w:tcPr>
            <w:tcW w:w="1227"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pPr>
            <w:r>
              <w:t>40</w:t>
            </w:r>
          </w:p>
        </w:tc>
        <w:tc>
          <w:tcPr>
            <w:tcW w:w="1227"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pPr>
            <w:r>
              <w:t>37</w:t>
            </w:r>
          </w:p>
        </w:tc>
        <w:tc>
          <w:tcPr>
            <w:tcW w:w="1227"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pPr>
            <w:r>
              <w:t>33</w:t>
            </w:r>
          </w:p>
        </w:tc>
      </w:tr>
    </w:tbl>
    <w:p w:rsidR="00554925" w:rsidRDefault="00554925"/>
    <w:p w:rsidR="00554925" w:rsidRDefault="00222684">
      <w:r>
        <w:t>The selected domain classes for a given threshold were used to encode each enzyme, in which each domain class corresponds to a position in a vector that is either 0 or 1 based on the presence or absence of a domain within that domain class in a given enzym</w:t>
      </w:r>
      <w:r>
        <w:t>e. We assessed our supervised learning methods for all five encoding lengths.</w:t>
      </w:r>
    </w:p>
    <w:p w:rsidR="00554925" w:rsidRDefault="00554925"/>
    <w:p w:rsidR="00554925" w:rsidRDefault="00222684">
      <w:r>
        <w:rPr>
          <w:i/>
        </w:rPr>
        <w:t>Model selection for the prediction of enzyme promiscuity from CATH domains</w:t>
      </w:r>
    </w:p>
    <w:p w:rsidR="00554925" w:rsidRDefault="00554925"/>
    <w:p w:rsidR="00554925" w:rsidRDefault="00222684">
      <w:r>
        <w:tab/>
      </w:r>
      <w:r>
        <w:t>We used the domain encodings the predict enzyme promiscuity (a true/false label, based on whether the enzyme can catalyze multiple reactions in iML1515). To select a model for this binary classification problem, we tested four different models: Support Vec</w:t>
      </w:r>
      <w:r>
        <w:t xml:space="preserve">tor Machine, (Multinomial) Naive Bayes, Decision Tree, and k-Nearest Neighbors. For SVM, linear and radial basis function kernels were tested. For k-Nearest Neighbors, k values from 5 to 20 were tested and </w:t>
      </w:r>
      <w:proofErr w:type="gramStart"/>
      <w:r>
        <w:t xml:space="preserve">results for the highest average accuracy for each </w:t>
      </w:r>
      <w:r>
        <w:t>encoding is</w:t>
      </w:r>
      <w:proofErr w:type="gramEnd"/>
      <w:r>
        <w:t xml:space="preserve"> reported. Unspecified parameters were set to defaults as implemented in </w:t>
      </w:r>
      <w:proofErr w:type="spellStart"/>
      <w:r>
        <w:t>sklearn</w:t>
      </w:r>
      <w:proofErr w:type="spellEnd"/>
      <w:r>
        <w:t xml:space="preserve">. Average and standard deviation of prediction accuracy under 5-fold cross validation for these methods are in </w:t>
      </w:r>
      <w:r>
        <w:rPr>
          <w:b/>
        </w:rPr>
        <w:t>Table 2</w:t>
      </w:r>
      <w:r>
        <w:t>.</w:t>
      </w:r>
    </w:p>
    <w:p w:rsidR="00554925" w:rsidRDefault="00222684">
      <w:r>
        <w:tab/>
        <w:t>Across all encoding lengths, the order of pe</w:t>
      </w:r>
      <w:r>
        <w:t>rformance between the models was the same: SVM (</w:t>
      </w:r>
      <w:proofErr w:type="spellStart"/>
      <w:r>
        <w:t>rbf</w:t>
      </w:r>
      <w:proofErr w:type="spellEnd"/>
      <w:r>
        <w:t xml:space="preserve">) &gt; SVM (linear) &gt; </w:t>
      </w:r>
      <w:proofErr w:type="spellStart"/>
      <w:r>
        <w:t>kNN</w:t>
      </w:r>
      <w:proofErr w:type="spellEnd"/>
      <w:r>
        <w:t xml:space="preserve"> &gt; Decision Tree &gt; Naive Bayes. Accuracies ranged from 60.2% to 68.5% across all models and encodings; since the maximum average accuracy is low, this suggests that the CATH domain da</w:t>
      </w:r>
      <w:r>
        <w:t>ta on its own is not particularly predictive for enzyme promiscuity. Curiously, SVM with a radial basis function kernel performed the best in all cases with by far the least variance in prediction accuracy based on cross-validation, but also performed iden</w:t>
      </w:r>
      <w:r>
        <w:t xml:space="preserve">tically across different encoding lengths. At this time, we do not have an explanation for why SVM with </w:t>
      </w:r>
      <w:proofErr w:type="spellStart"/>
      <w:r>
        <w:t>rbf</w:t>
      </w:r>
      <w:proofErr w:type="spellEnd"/>
      <w:r>
        <w:t xml:space="preserve"> kernel performs identically for different encoding lengths. </w:t>
      </w:r>
    </w:p>
    <w:p w:rsidR="00B92EE7" w:rsidRDefault="00B92EE7"/>
    <w:p w:rsidR="00554925" w:rsidRDefault="00222684">
      <w:pPr>
        <w:rPr>
          <w:sz w:val="20"/>
          <w:szCs w:val="20"/>
        </w:rPr>
      </w:pPr>
      <w:r>
        <w:rPr>
          <w:b/>
          <w:sz w:val="20"/>
          <w:szCs w:val="20"/>
        </w:rPr>
        <w:lastRenderedPageBreak/>
        <w:t>Table 2</w:t>
      </w:r>
      <w:r>
        <w:rPr>
          <w:sz w:val="20"/>
          <w:szCs w:val="20"/>
        </w:rPr>
        <w:t>: Performance of different supervised learning models at predicting enzyme promi</w:t>
      </w:r>
      <w:r>
        <w:rPr>
          <w:sz w:val="20"/>
          <w:szCs w:val="20"/>
        </w:rPr>
        <w:t xml:space="preserve">scuity from CATH domains. Learning tested against multiple possible encodings, based on the number of CATH domain classes used for encoding. For k-NN, the optimal k between 5 and 20 is reported for each encoding length, which </w:t>
      </w:r>
      <w:proofErr w:type="gramStart"/>
      <w:r>
        <w:rPr>
          <w:sz w:val="20"/>
          <w:szCs w:val="20"/>
        </w:rPr>
        <w:t>were</w:t>
      </w:r>
      <w:proofErr w:type="gramEnd"/>
      <w:r>
        <w:rPr>
          <w:sz w:val="20"/>
          <w:szCs w:val="20"/>
        </w:rPr>
        <w:t xml:space="preserve"> 15, 6, 7, 7, and 9, respe</w:t>
      </w:r>
      <w:r>
        <w:rPr>
          <w:sz w:val="20"/>
          <w:szCs w:val="20"/>
        </w:rPr>
        <w:t>ctively.</w:t>
      </w:r>
    </w:p>
    <w:tbl>
      <w:tblPr>
        <w:tblStyle w:val="a0"/>
        <w:tblW w:w="9360" w:type="dxa"/>
        <w:tblInd w:w="-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521"/>
        <w:gridCol w:w="1521"/>
        <w:gridCol w:w="1521"/>
        <w:gridCol w:w="1521"/>
        <w:gridCol w:w="1521"/>
      </w:tblGrid>
      <w:tr w:rsidR="00554925" w:rsidTr="00B92EE7">
        <w:trPr>
          <w:trHeight w:val="240"/>
        </w:trPr>
        <w:tc>
          <w:tcPr>
            <w:tcW w:w="1755" w:type="dxa"/>
            <w:tcBorders>
              <w:left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right"/>
              <w:rPr>
                <w:b/>
                <w:sz w:val="20"/>
                <w:szCs w:val="20"/>
              </w:rPr>
            </w:pPr>
            <w:r>
              <w:rPr>
                <w:b/>
                <w:sz w:val="20"/>
                <w:szCs w:val="20"/>
              </w:rPr>
              <w:t>Model</w:t>
            </w:r>
          </w:p>
        </w:tc>
        <w:tc>
          <w:tcPr>
            <w:tcW w:w="7605" w:type="dxa"/>
            <w:gridSpan w:val="5"/>
            <w:tcBorders>
              <w:left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b/>
                <w:sz w:val="20"/>
                <w:szCs w:val="20"/>
              </w:rPr>
            </w:pPr>
            <w:r>
              <w:rPr>
                <w:b/>
                <w:sz w:val="20"/>
                <w:szCs w:val="20"/>
              </w:rPr>
              <w:t>Accuracy ± Standard Deviation (5-fold CV)</w:t>
            </w:r>
          </w:p>
        </w:tc>
      </w:tr>
      <w:tr w:rsidR="00554925">
        <w:tc>
          <w:tcPr>
            <w:tcW w:w="1755" w:type="dxa"/>
            <w:tcBorders>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right"/>
              <w:rPr>
                <w:sz w:val="20"/>
                <w:szCs w:val="20"/>
              </w:rPr>
            </w:pPr>
            <w:r>
              <w:rPr>
                <w:sz w:val="20"/>
                <w:szCs w:val="20"/>
              </w:rPr>
              <w:t>SVM (linear)</w:t>
            </w:r>
          </w:p>
        </w:tc>
        <w:tc>
          <w:tcPr>
            <w:tcW w:w="1521" w:type="dxa"/>
            <w:tcBorders>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0.682 ± 0.016</w:t>
            </w:r>
          </w:p>
        </w:tc>
        <w:tc>
          <w:tcPr>
            <w:tcW w:w="1521" w:type="dxa"/>
            <w:tcBorders>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0.667 ± 0.009</w:t>
            </w:r>
          </w:p>
        </w:tc>
        <w:tc>
          <w:tcPr>
            <w:tcW w:w="1521" w:type="dxa"/>
            <w:tcBorders>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0.675 ± 0.023</w:t>
            </w:r>
          </w:p>
        </w:tc>
        <w:tc>
          <w:tcPr>
            <w:tcW w:w="1521" w:type="dxa"/>
            <w:tcBorders>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0.667 ± 0.038</w:t>
            </w:r>
          </w:p>
        </w:tc>
        <w:tc>
          <w:tcPr>
            <w:tcW w:w="1521" w:type="dxa"/>
            <w:tcBorders>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0.673 ± 0.026</w:t>
            </w:r>
          </w:p>
        </w:tc>
      </w:tr>
      <w:tr w:rsidR="00554925">
        <w:tc>
          <w:tcPr>
            <w:tcW w:w="1755"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right"/>
              <w:rPr>
                <w:sz w:val="20"/>
                <w:szCs w:val="20"/>
              </w:rPr>
            </w:pPr>
            <w:r>
              <w:rPr>
                <w:sz w:val="20"/>
                <w:szCs w:val="20"/>
              </w:rPr>
              <w:t>SVM (</w:t>
            </w:r>
            <w:proofErr w:type="spellStart"/>
            <w:r>
              <w:rPr>
                <w:sz w:val="20"/>
                <w:szCs w:val="20"/>
              </w:rPr>
              <w:t>rbf</w:t>
            </w:r>
            <w:proofErr w:type="spellEnd"/>
            <w:r>
              <w:rPr>
                <w:sz w:val="20"/>
                <w:szCs w:val="20"/>
              </w:rPr>
              <w:t>)</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0.685 ± 0.002</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0.685 ± 0.002</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0.685 ± 0.002</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0.685 ± 0.002</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0.685 ± 0.002</w:t>
            </w:r>
          </w:p>
        </w:tc>
      </w:tr>
      <w:tr w:rsidR="00554925">
        <w:trPr>
          <w:trHeight w:val="300"/>
        </w:trPr>
        <w:tc>
          <w:tcPr>
            <w:tcW w:w="1755"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right"/>
              <w:rPr>
                <w:sz w:val="20"/>
                <w:szCs w:val="20"/>
              </w:rPr>
            </w:pPr>
            <w:r>
              <w:rPr>
                <w:sz w:val="20"/>
                <w:szCs w:val="20"/>
              </w:rPr>
              <w:t>Naive Bayes</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0.615 ± 0.018</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0.602 ± 0.030</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0.617 ± 0.043</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0.622 ± 0.040</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0.626 ± 0.034</w:t>
            </w:r>
          </w:p>
        </w:tc>
      </w:tr>
      <w:tr w:rsidR="00554925">
        <w:tc>
          <w:tcPr>
            <w:tcW w:w="1755"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right"/>
              <w:rPr>
                <w:sz w:val="20"/>
                <w:szCs w:val="20"/>
              </w:rPr>
            </w:pPr>
            <w:r>
              <w:rPr>
                <w:sz w:val="20"/>
                <w:szCs w:val="20"/>
              </w:rPr>
              <w:t>Decision Tree</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0.624 ± 0.029</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0.637 ± 0.034</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0.640 ± 0.042</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0.637 ± 0.047</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0.633 ± 0.038</w:t>
            </w:r>
          </w:p>
        </w:tc>
      </w:tr>
      <w:tr w:rsidR="00554925">
        <w:tc>
          <w:tcPr>
            <w:tcW w:w="1755" w:type="dxa"/>
            <w:tcBorders>
              <w:top w:val="nil"/>
              <w:left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right"/>
              <w:rPr>
                <w:sz w:val="20"/>
                <w:szCs w:val="20"/>
              </w:rPr>
            </w:pPr>
            <w:r>
              <w:rPr>
                <w:sz w:val="20"/>
                <w:szCs w:val="20"/>
              </w:rPr>
              <w:t>k-NN*</w:t>
            </w:r>
          </w:p>
        </w:tc>
        <w:tc>
          <w:tcPr>
            <w:tcW w:w="1521" w:type="dxa"/>
            <w:tcBorders>
              <w:top w:val="nil"/>
              <w:left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0.653 ± 0.019</w:t>
            </w:r>
          </w:p>
        </w:tc>
        <w:tc>
          <w:tcPr>
            <w:tcW w:w="1521" w:type="dxa"/>
            <w:tcBorders>
              <w:top w:val="nil"/>
              <w:left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0.655 ± 0.032</w:t>
            </w:r>
          </w:p>
        </w:tc>
        <w:tc>
          <w:tcPr>
            <w:tcW w:w="1521" w:type="dxa"/>
            <w:tcBorders>
              <w:top w:val="nil"/>
              <w:left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0.644 ± 0.050</w:t>
            </w:r>
          </w:p>
        </w:tc>
        <w:tc>
          <w:tcPr>
            <w:tcW w:w="1521" w:type="dxa"/>
            <w:tcBorders>
              <w:top w:val="nil"/>
              <w:left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0.644 ± 0.057</w:t>
            </w:r>
          </w:p>
        </w:tc>
        <w:tc>
          <w:tcPr>
            <w:tcW w:w="1521" w:type="dxa"/>
            <w:tcBorders>
              <w:top w:val="nil"/>
              <w:left w:val="nil"/>
              <w:right w:val="nil"/>
            </w:tcBorders>
            <w:shd w:val="clear" w:color="auto" w:fill="auto"/>
            <w:tcMar>
              <w:top w:w="28" w:type="dxa"/>
              <w:left w:w="28" w:type="dxa"/>
              <w:bottom w:w="28" w:type="dxa"/>
              <w:right w:w="28" w:type="dxa"/>
            </w:tcMar>
          </w:tcPr>
          <w:p w:rsidR="00554925" w:rsidRDefault="00222684">
            <w:pPr>
              <w:widowControl w:val="0"/>
              <w:pBdr>
                <w:top w:val="nil"/>
                <w:left w:val="nil"/>
                <w:bottom w:val="nil"/>
                <w:right w:val="nil"/>
                <w:between w:val="nil"/>
              </w:pBdr>
              <w:spacing w:line="240" w:lineRule="auto"/>
              <w:jc w:val="center"/>
              <w:rPr>
                <w:sz w:val="20"/>
                <w:szCs w:val="20"/>
              </w:rPr>
            </w:pPr>
            <w:r>
              <w:rPr>
                <w:sz w:val="20"/>
                <w:szCs w:val="20"/>
              </w:rPr>
              <w:t>0.633 ± 0.034</w:t>
            </w:r>
          </w:p>
        </w:tc>
      </w:tr>
      <w:tr w:rsidR="00554925">
        <w:tc>
          <w:tcPr>
            <w:tcW w:w="1755" w:type="dxa"/>
            <w:tcBorders>
              <w:left w:val="nil"/>
              <w:bottom w:val="nil"/>
              <w:right w:val="nil"/>
            </w:tcBorders>
            <w:shd w:val="clear" w:color="auto" w:fill="auto"/>
            <w:tcMar>
              <w:top w:w="28" w:type="dxa"/>
              <w:left w:w="28" w:type="dxa"/>
              <w:bottom w:w="28" w:type="dxa"/>
              <w:right w:w="28" w:type="dxa"/>
            </w:tcMar>
          </w:tcPr>
          <w:p w:rsidR="00554925" w:rsidRDefault="00222684">
            <w:pPr>
              <w:widowControl w:val="0"/>
              <w:spacing w:line="240" w:lineRule="auto"/>
              <w:jc w:val="right"/>
              <w:rPr>
                <w:sz w:val="20"/>
                <w:szCs w:val="20"/>
              </w:rPr>
            </w:pPr>
            <w:r>
              <w:rPr>
                <w:sz w:val="20"/>
                <w:szCs w:val="20"/>
              </w:rPr>
              <w:t>Min Class Size</w:t>
            </w:r>
          </w:p>
        </w:tc>
        <w:tc>
          <w:tcPr>
            <w:tcW w:w="1521" w:type="dxa"/>
            <w:tcBorders>
              <w:left w:val="nil"/>
              <w:bottom w:val="nil"/>
              <w:right w:val="nil"/>
            </w:tcBorders>
            <w:shd w:val="clear" w:color="auto" w:fill="auto"/>
            <w:tcMar>
              <w:top w:w="28" w:type="dxa"/>
              <w:left w:w="28" w:type="dxa"/>
              <w:bottom w:w="28" w:type="dxa"/>
              <w:right w:w="28" w:type="dxa"/>
            </w:tcMar>
          </w:tcPr>
          <w:p w:rsidR="00554925" w:rsidRDefault="00222684">
            <w:pPr>
              <w:widowControl w:val="0"/>
              <w:spacing w:line="240" w:lineRule="auto"/>
              <w:jc w:val="center"/>
              <w:rPr>
                <w:sz w:val="20"/>
                <w:szCs w:val="20"/>
              </w:rPr>
            </w:pPr>
            <w:r>
              <w:rPr>
                <w:sz w:val="20"/>
                <w:szCs w:val="20"/>
              </w:rPr>
              <w:t>5</w:t>
            </w:r>
          </w:p>
        </w:tc>
        <w:tc>
          <w:tcPr>
            <w:tcW w:w="1521" w:type="dxa"/>
            <w:tcBorders>
              <w:left w:val="nil"/>
              <w:bottom w:val="nil"/>
              <w:right w:val="nil"/>
            </w:tcBorders>
            <w:shd w:val="clear" w:color="auto" w:fill="auto"/>
            <w:tcMar>
              <w:top w:w="28" w:type="dxa"/>
              <w:left w:w="28" w:type="dxa"/>
              <w:bottom w:w="28" w:type="dxa"/>
              <w:right w:w="28" w:type="dxa"/>
            </w:tcMar>
          </w:tcPr>
          <w:p w:rsidR="00554925" w:rsidRDefault="00222684">
            <w:pPr>
              <w:widowControl w:val="0"/>
              <w:spacing w:line="240" w:lineRule="auto"/>
              <w:jc w:val="center"/>
              <w:rPr>
                <w:sz w:val="20"/>
                <w:szCs w:val="20"/>
              </w:rPr>
            </w:pPr>
            <w:r>
              <w:rPr>
                <w:sz w:val="20"/>
                <w:szCs w:val="20"/>
              </w:rPr>
              <w:t>6</w:t>
            </w:r>
          </w:p>
        </w:tc>
        <w:tc>
          <w:tcPr>
            <w:tcW w:w="1521" w:type="dxa"/>
            <w:tcBorders>
              <w:left w:val="nil"/>
              <w:bottom w:val="nil"/>
              <w:right w:val="nil"/>
            </w:tcBorders>
            <w:shd w:val="clear" w:color="auto" w:fill="auto"/>
            <w:tcMar>
              <w:top w:w="28" w:type="dxa"/>
              <w:left w:w="28" w:type="dxa"/>
              <w:bottom w:w="28" w:type="dxa"/>
              <w:right w:w="28" w:type="dxa"/>
            </w:tcMar>
          </w:tcPr>
          <w:p w:rsidR="00554925" w:rsidRDefault="00222684">
            <w:pPr>
              <w:widowControl w:val="0"/>
              <w:spacing w:line="240" w:lineRule="auto"/>
              <w:jc w:val="center"/>
              <w:rPr>
                <w:sz w:val="20"/>
                <w:szCs w:val="20"/>
              </w:rPr>
            </w:pPr>
            <w:r>
              <w:rPr>
                <w:sz w:val="20"/>
                <w:szCs w:val="20"/>
              </w:rPr>
              <w:t>7</w:t>
            </w:r>
          </w:p>
        </w:tc>
        <w:tc>
          <w:tcPr>
            <w:tcW w:w="1521" w:type="dxa"/>
            <w:tcBorders>
              <w:left w:val="nil"/>
              <w:bottom w:val="nil"/>
              <w:right w:val="nil"/>
            </w:tcBorders>
            <w:shd w:val="clear" w:color="auto" w:fill="auto"/>
            <w:tcMar>
              <w:top w:w="28" w:type="dxa"/>
              <w:left w:w="28" w:type="dxa"/>
              <w:bottom w:w="28" w:type="dxa"/>
              <w:right w:w="28" w:type="dxa"/>
            </w:tcMar>
          </w:tcPr>
          <w:p w:rsidR="00554925" w:rsidRDefault="00222684">
            <w:pPr>
              <w:widowControl w:val="0"/>
              <w:spacing w:line="240" w:lineRule="auto"/>
              <w:jc w:val="center"/>
              <w:rPr>
                <w:sz w:val="20"/>
                <w:szCs w:val="20"/>
              </w:rPr>
            </w:pPr>
            <w:r>
              <w:rPr>
                <w:sz w:val="20"/>
                <w:szCs w:val="20"/>
              </w:rPr>
              <w:t>8</w:t>
            </w:r>
          </w:p>
        </w:tc>
        <w:tc>
          <w:tcPr>
            <w:tcW w:w="1521" w:type="dxa"/>
            <w:tcBorders>
              <w:left w:val="nil"/>
              <w:bottom w:val="nil"/>
              <w:right w:val="nil"/>
            </w:tcBorders>
            <w:shd w:val="clear" w:color="auto" w:fill="auto"/>
            <w:tcMar>
              <w:top w:w="28" w:type="dxa"/>
              <w:left w:w="28" w:type="dxa"/>
              <w:bottom w:w="28" w:type="dxa"/>
              <w:right w:w="28" w:type="dxa"/>
            </w:tcMar>
          </w:tcPr>
          <w:p w:rsidR="00554925" w:rsidRDefault="00222684">
            <w:pPr>
              <w:widowControl w:val="0"/>
              <w:spacing w:line="240" w:lineRule="auto"/>
              <w:jc w:val="center"/>
              <w:rPr>
                <w:sz w:val="20"/>
                <w:szCs w:val="20"/>
              </w:rPr>
            </w:pPr>
            <w:r>
              <w:rPr>
                <w:sz w:val="20"/>
                <w:szCs w:val="20"/>
              </w:rPr>
              <w:t>9</w:t>
            </w:r>
          </w:p>
        </w:tc>
      </w:tr>
      <w:tr w:rsidR="00554925">
        <w:tc>
          <w:tcPr>
            <w:tcW w:w="1755"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spacing w:line="240" w:lineRule="auto"/>
              <w:jc w:val="right"/>
              <w:rPr>
                <w:sz w:val="20"/>
                <w:szCs w:val="20"/>
              </w:rPr>
            </w:pPr>
            <w:r>
              <w:rPr>
                <w:sz w:val="20"/>
                <w:szCs w:val="20"/>
              </w:rPr>
              <w:t>Encoding Length</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spacing w:line="240" w:lineRule="auto"/>
              <w:jc w:val="center"/>
              <w:rPr>
                <w:sz w:val="20"/>
                <w:szCs w:val="20"/>
              </w:rPr>
            </w:pPr>
            <w:r>
              <w:rPr>
                <w:sz w:val="20"/>
                <w:szCs w:val="20"/>
              </w:rPr>
              <w:t>67</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spacing w:line="240" w:lineRule="auto"/>
              <w:jc w:val="center"/>
              <w:rPr>
                <w:sz w:val="20"/>
                <w:szCs w:val="20"/>
              </w:rPr>
            </w:pPr>
            <w:r>
              <w:rPr>
                <w:sz w:val="20"/>
                <w:szCs w:val="20"/>
              </w:rPr>
              <w:t>51</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spacing w:line="240" w:lineRule="auto"/>
              <w:jc w:val="center"/>
              <w:rPr>
                <w:sz w:val="20"/>
                <w:szCs w:val="20"/>
              </w:rPr>
            </w:pPr>
            <w:r>
              <w:rPr>
                <w:sz w:val="20"/>
                <w:szCs w:val="20"/>
              </w:rPr>
              <w:t>40</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spacing w:line="240" w:lineRule="auto"/>
              <w:jc w:val="center"/>
              <w:rPr>
                <w:sz w:val="20"/>
                <w:szCs w:val="20"/>
              </w:rPr>
            </w:pPr>
            <w:r>
              <w:rPr>
                <w:sz w:val="20"/>
                <w:szCs w:val="20"/>
              </w:rPr>
              <w:t>37</w:t>
            </w:r>
          </w:p>
        </w:tc>
        <w:tc>
          <w:tcPr>
            <w:tcW w:w="1521" w:type="dxa"/>
            <w:tcBorders>
              <w:top w:val="nil"/>
              <w:left w:val="nil"/>
              <w:bottom w:val="nil"/>
              <w:right w:val="nil"/>
            </w:tcBorders>
            <w:shd w:val="clear" w:color="auto" w:fill="auto"/>
            <w:tcMar>
              <w:top w:w="28" w:type="dxa"/>
              <w:left w:w="28" w:type="dxa"/>
              <w:bottom w:w="28" w:type="dxa"/>
              <w:right w:w="28" w:type="dxa"/>
            </w:tcMar>
          </w:tcPr>
          <w:p w:rsidR="00554925" w:rsidRDefault="00222684">
            <w:pPr>
              <w:widowControl w:val="0"/>
              <w:spacing w:line="240" w:lineRule="auto"/>
              <w:jc w:val="center"/>
              <w:rPr>
                <w:sz w:val="20"/>
                <w:szCs w:val="20"/>
              </w:rPr>
            </w:pPr>
            <w:r>
              <w:rPr>
                <w:sz w:val="20"/>
                <w:szCs w:val="20"/>
              </w:rPr>
              <w:t>33</w:t>
            </w:r>
          </w:p>
        </w:tc>
      </w:tr>
    </w:tbl>
    <w:p w:rsidR="00554925" w:rsidRDefault="00554925"/>
    <w:p w:rsidR="00554925" w:rsidRDefault="00222684">
      <w:r>
        <w:rPr>
          <w:i/>
        </w:rPr>
        <w:t>Performance of SVM at predicting enzyme promiscuity from CATH domains</w:t>
      </w:r>
    </w:p>
    <w:p w:rsidR="00554925" w:rsidRDefault="00554925"/>
    <w:p w:rsidR="00554925" w:rsidRDefault="00222684">
      <w:r>
        <w:t xml:space="preserve"> </w:t>
      </w:r>
      <w:r>
        <w:tab/>
        <w:t xml:space="preserve">We proceeded with </w:t>
      </w:r>
      <w:r>
        <w:t>the SVM model with radial basis function kernel, which consistently demonstrated the highest average accuracy compared to other tested models. To generate precision-recall and ROC curves, we swept through different thresholds for the signed distance from t</w:t>
      </w:r>
      <w:r>
        <w:t xml:space="preserve">he separating </w:t>
      </w:r>
      <w:proofErr w:type="spellStart"/>
      <w:r>
        <w:t>hyperplane</w:t>
      </w:r>
      <w:proofErr w:type="spellEnd"/>
      <w:r>
        <w:t xml:space="preserve"> at which to label a point as promiscuous or not (in the standard implementation, the threshold is 0; positive signed distances would be assigned promiscuous and negative signed distances would be assigned specific). Positives are e</w:t>
      </w:r>
      <w:r>
        <w:t>nzymes labeled as promiscuous, negatives are enzymes labeled as specific, and PR / ROC curves were generated for different encoding lengths based on the minimum domain class size accepted (</w:t>
      </w:r>
      <w:r>
        <w:rPr>
          <w:b/>
        </w:rPr>
        <w:t>Figure 3</w:t>
      </w:r>
      <w:r>
        <w:t>).</w:t>
      </w:r>
      <w:r>
        <w:tab/>
      </w:r>
    </w:p>
    <w:p w:rsidR="00554925" w:rsidRDefault="00222684">
      <w:pPr>
        <w:jc w:val="center"/>
      </w:pPr>
      <w:r>
        <w:rPr>
          <w:noProof/>
          <w:lang w:val="en-US"/>
        </w:rPr>
        <w:drawing>
          <wp:inline distT="114300" distB="114300" distL="114300" distR="114300">
            <wp:extent cx="5505450" cy="313931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505450" cy="3139318"/>
                    </a:xfrm>
                    <a:prstGeom prst="rect">
                      <a:avLst/>
                    </a:prstGeom>
                    <a:ln/>
                  </pic:spPr>
                </pic:pic>
              </a:graphicData>
            </a:graphic>
          </wp:inline>
        </w:drawing>
      </w:r>
    </w:p>
    <w:p w:rsidR="00554925" w:rsidRDefault="00222684">
      <w:pPr>
        <w:jc w:val="center"/>
      </w:pPr>
      <w:r>
        <w:rPr>
          <w:b/>
        </w:rPr>
        <w:t>Figure 3</w:t>
      </w:r>
      <w:r>
        <w:t>: Precision-Recall and ROC curves for SVM mod</w:t>
      </w:r>
      <w:r>
        <w:t xml:space="preserve">el with </w:t>
      </w:r>
      <w:proofErr w:type="spellStart"/>
      <w:r>
        <w:t>rbf</w:t>
      </w:r>
      <w:proofErr w:type="spellEnd"/>
      <w:r>
        <w:t xml:space="preserve"> kernel for predicting enzyme promiscuity from CATH domains. Curves for different encoding lengths based on the minimum domain class size (MDCS) used for encoding, as described previously.</w:t>
      </w:r>
    </w:p>
    <w:p w:rsidR="00554925" w:rsidRDefault="00222684">
      <w:r>
        <w:lastRenderedPageBreak/>
        <w:tab/>
        <w:t xml:space="preserve">Unfortunately, the plots suggest that the SVM model is </w:t>
      </w:r>
      <w:r>
        <w:t>only marginally better than random classification. For all 5 domain encodings tested, we find then when recall is low (fraction of promiscuous enzymes detected) the precision can be very high (fraction of promiscuous enzyme calls that are correct), but pre</w:t>
      </w:r>
      <w:r>
        <w:t>cision rapidly plummets to baseline once recall reaches 25% (about a third of all enzymes are labeled promiscuous). Similarly, all ROC curves lie very close to the random prediction line. Overall, while there may be a better approach towards encoding domai</w:t>
      </w:r>
      <w:r>
        <w:t xml:space="preserve">n information into vectors for supervised learning, results so far suggests that CATH domains are not very informative with respect to enzyme promiscuity. </w:t>
      </w:r>
    </w:p>
    <w:p w:rsidR="00554925" w:rsidRDefault="00222684">
      <w:r>
        <w:tab/>
        <w:t>So far, we have examined enzyme domain structure and exact matching of enzyme substrates (</w:t>
      </w:r>
      <w:proofErr w:type="spellStart"/>
      <w:r>
        <w:t>Jaccard</w:t>
      </w:r>
      <w:proofErr w:type="spellEnd"/>
      <w:r>
        <w:t xml:space="preserve"> i</w:t>
      </w:r>
      <w:r>
        <w:t>ndex of shared substrates approach, from Checkpoint 1). While neither data type appears to be very predictive with respect to enzyme promiscuity on its own, it possible that combining these disparate datasets may be more informative. Finally, we hope to im</w:t>
      </w:r>
      <w:r>
        <w:t>prove our initial enzyme substrate approach by integrating substrate structural information.</w:t>
      </w:r>
    </w:p>
    <w:p w:rsidR="00554925" w:rsidRDefault="00554925"/>
    <w:p w:rsidR="00554925" w:rsidRDefault="00222684">
      <w:pPr>
        <w:rPr>
          <w:i/>
        </w:rPr>
      </w:pPr>
      <w:r>
        <w:rPr>
          <w:i/>
        </w:rPr>
        <w:t>Incorporating substrate structures</w:t>
      </w:r>
    </w:p>
    <w:p w:rsidR="00554925" w:rsidRDefault="00554925">
      <w:pPr>
        <w:rPr>
          <w:i/>
        </w:rPr>
      </w:pPr>
    </w:p>
    <w:p w:rsidR="00554925" w:rsidRDefault="00222684">
      <w:r>
        <w:tab/>
        <w:t>Towards incorporating substrate structural information, we have obtained MOL files for metabolites from BIGG (about 830 of th</w:t>
      </w:r>
      <w:r>
        <w:t xml:space="preserve">e original 1167) and processed them using </w:t>
      </w:r>
      <w:proofErr w:type="spellStart"/>
      <w:r>
        <w:t>RDKit</w:t>
      </w:r>
      <w:proofErr w:type="spellEnd"/>
      <w:r>
        <w:t xml:space="preserve"> to obtain molecular fingerprints. The fingerprints were then run through a similarity analysis to obtain a molecular similarity matrix. We are currently in the process of attaching the molecular similarity in</w:t>
      </w:r>
      <w:r>
        <w:t>formation to the existing structural information using an enzyme to enzyme similarity matrix. We plan on applying supervised learning methods to make predictions based off of patterns of overall reaction similarity.</w:t>
      </w:r>
    </w:p>
    <w:p w:rsidR="00554925" w:rsidRDefault="00222684">
      <w:pPr>
        <w:ind w:firstLine="720"/>
      </w:pPr>
      <w:r>
        <w:t>To determine enzyme substrate similarity</w:t>
      </w:r>
      <w:r>
        <w:t xml:space="preserve">, we plan on using a similarity matrix calculated from the similarity of two metabolites to each other. </w:t>
      </w:r>
      <w:proofErr w:type="gramStart"/>
      <w:r>
        <w:t>For each reaction.</w:t>
      </w:r>
      <w:proofErr w:type="gramEnd"/>
      <w:r>
        <w:t xml:space="preserve"> From that, the maximum values of each similarity score from each column would be added together and averaged. This would produce our </w:t>
      </w:r>
      <w:r>
        <w:t>enzyme structural similarity score.</w:t>
      </w:r>
    </w:p>
    <w:p w:rsidR="00554925" w:rsidRDefault="00222684">
      <w:pPr>
        <w:ind w:firstLine="720"/>
      </w:pPr>
      <w:r>
        <w:t>Other farther off implementations of structural information are possible incorporation of other graph based methods of identification (</w:t>
      </w:r>
      <w:proofErr w:type="spellStart"/>
      <w:r>
        <w:t>Balaban</w:t>
      </w:r>
      <w:proofErr w:type="spellEnd"/>
      <w:r>
        <w:t xml:space="preserve"> index), as well as trying a combination of different fingerprinting technique</w:t>
      </w:r>
      <w:r>
        <w:t>s (</w:t>
      </w:r>
      <w:proofErr w:type="spellStart"/>
      <w:r>
        <w:t>RDKit</w:t>
      </w:r>
      <w:proofErr w:type="spellEnd"/>
      <w:r>
        <w:t xml:space="preserve"> also provides other fingerprinting tools other than what we are working in progress to use). Other possible future methods include doing hierarchical clustering on the substrate similarity matrix and then training a machine learning algorithm on p</w:t>
      </w:r>
      <w:r>
        <w:t xml:space="preserve">romiscuity based off of an enzyme belonging to certain clusters. </w:t>
      </w:r>
    </w:p>
    <w:p w:rsidR="00554925" w:rsidRDefault="00222684">
      <w:pPr>
        <w:ind w:firstLine="720"/>
      </w:pPr>
      <w:r>
        <w:t xml:space="preserve"> Other possible directions are also incorporating substrate structural information into the model itself and trying to also train based upon a combination of the reaction similarity compared</w:t>
      </w:r>
      <w:r>
        <w:t xml:space="preserve"> to the aggregate chemical similarity.</w:t>
      </w:r>
      <w:bookmarkStart w:id="0" w:name="_GoBack"/>
      <w:bookmarkEnd w:id="0"/>
    </w:p>
    <w:p w:rsidR="00554925" w:rsidRDefault="00222684">
      <w:r>
        <w:tab/>
      </w:r>
    </w:p>
    <w:p w:rsidR="00554925" w:rsidRDefault="00554925"/>
    <w:p w:rsidR="00554925" w:rsidRDefault="00554925"/>
    <w:p w:rsidR="00554925" w:rsidRDefault="00222684">
      <w:r>
        <w:t xml:space="preserve">All code and datasets used are available here: </w:t>
      </w:r>
      <w:hyperlink r:id="rId11">
        <w:r>
          <w:rPr>
            <w:color w:val="1155CC"/>
            <w:u w:val="single"/>
          </w:rPr>
          <w:t>https://github.com/jhyun95/ecoli_promiscuity</w:t>
        </w:r>
      </w:hyperlink>
    </w:p>
    <w:p w:rsidR="00554925" w:rsidRDefault="00554925"/>
    <w:sectPr w:rsidR="00554925">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684" w:rsidRDefault="00222684">
      <w:pPr>
        <w:spacing w:line="240" w:lineRule="auto"/>
      </w:pPr>
      <w:r>
        <w:separator/>
      </w:r>
    </w:p>
  </w:endnote>
  <w:endnote w:type="continuationSeparator" w:id="0">
    <w:p w:rsidR="00222684" w:rsidRDefault="00222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925" w:rsidRDefault="00554925">
    <w:pPr>
      <w:jc w:val="center"/>
    </w:pPr>
  </w:p>
  <w:p w:rsidR="00554925" w:rsidRDefault="00222684">
    <w:pPr>
      <w:jc w:val="center"/>
    </w:pPr>
    <w:r>
      <w:fldChar w:fldCharType="begin"/>
    </w:r>
    <w:r>
      <w:instrText>PAGE</w:instrText>
    </w:r>
    <w:r w:rsidR="00B92EE7">
      <w:fldChar w:fldCharType="separate"/>
    </w:r>
    <w:r w:rsidR="00B92EE7">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684" w:rsidRDefault="00222684">
      <w:pPr>
        <w:spacing w:line="240" w:lineRule="auto"/>
      </w:pPr>
      <w:r>
        <w:separator/>
      </w:r>
    </w:p>
  </w:footnote>
  <w:footnote w:type="continuationSeparator" w:id="0">
    <w:p w:rsidR="00222684" w:rsidRDefault="002226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727C2"/>
    <w:multiLevelType w:val="multilevel"/>
    <w:tmpl w:val="E2B83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4925"/>
    <w:rsid w:val="00222684"/>
    <w:rsid w:val="00554925"/>
    <w:rsid w:val="00B92E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92E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E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92E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E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jhyun95/ecoli_promiscuity"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1815</Words>
  <Characters>10352</Characters>
  <Application>Microsoft Office Word</Application>
  <DocSecurity>0</DocSecurity>
  <Lines>86</Lines>
  <Paragraphs>24</Paragraphs>
  <ScaleCrop>false</ScaleCrop>
  <Company/>
  <LinksUpToDate>false</LinksUpToDate>
  <CharactersWithSpaces>12143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Hyun</cp:lastModifiedBy>
  <cp:revision>2</cp:revision>
  <dcterms:created xsi:type="dcterms:W3CDTF">2018-05-16T06:37:00Z</dcterms:created>
  <dcterms:modified xsi:type="dcterms:W3CDTF">2018-05-16T06:39:00Z</dcterms:modified>
</cp:coreProperties>
</file>