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员工信息访问分级规范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ACL-EMP-001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权限规范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04_公司业务人员关系知识库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内部受控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组织架构和公开岗位职责为内部公开；员工联系方式、绩效、身份证件属于敏感数据，仅授权HR可查看。</w:t>
      </w:r>
    </w:p>
    <w:p>
      <w:pPr>
        <w:pStyle w:val="Heading1"/>
      </w:pPr>
      <w:r>
        <w:t>二、执行规则与证据要点</w:t>
      </w:r>
    </w:p>
    <w:p>
      <w:r>
        <w:t>图谱实体关联不能绕过源文档ACL；跨文档检索结果应按调用者权限过滤。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请概括员工信息访问分级规范_V1.0的关键要求并提供来源引用。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