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Noto Sans CJK KR" w:hAnsi="Noto Sans CJK KR" w:eastAsia="Noto Sans CJK KR"/>
          <w:b/>
          <w:color w:val="FFFFFF"/>
          <w:sz w:val="17"/>
          <w:shd w:fill="197B78"/>
        </w:rPr>
        <w:t xml:space="preserve"> KOREA / MVP / LOCAL-FIRST </w:t>
      </w:r>
    </w:p>
    <w:p>
      <w:pPr>
        <w:spacing w:after="100"/>
      </w:pPr>
      <w:r>
        <w:rPr>
          <w:rFonts w:ascii="Noto Sans CJK KR" w:hAnsi="Noto Sans CJK KR" w:eastAsia="Noto Sans CJK KR"/>
          <w:b/>
          <w:color w:val="142A3A"/>
          <w:sz w:val="64"/>
        </w:rPr>
        <w:t>Genome Companion Korea</w:t>
      </w:r>
    </w:p>
    <w:p>
      <w:pPr>
        <w:spacing w:after="360"/>
      </w:pPr>
      <w:r>
        <w:rPr>
          <w:rFonts w:ascii="Noto Sans CJK KR" w:hAnsi="Noto Sans CJK KR" w:eastAsia="Noto Sans CJK KR"/>
          <w:b/>
          <w:color w:val="197B78"/>
          <w:sz w:val="36"/>
        </w:rPr>
        <w:t>Product, Regulatory, Design &amp; Engineering Blueprint</w:t>
      </w:r>
    </w:p>
    <w:p>
      <w:pPr>
        <w:spacing w:after="480"/>
      </w:pPr>
      <w:r>
        <w:rPr>
          <w:rFonts w:ascii="Noto Sans CJK KR" w:hAnsi="Noto Sans CJK KR" w:eastAsia="Noto Sans CJK KR"/>
          <w:color w:val="17212B"/>
          <w:sz w:val="24"/>
        </w:rPr>
        <w:t>A Korea-first genetic wellness application where a user buys a certified test, imports the result once, and turns the result into a private on-device health profile. The product is designed so the company does not operate a DNA lab and does not maintain a central genomic database.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8"/>
          <w:left w:val="single" w:sz="4" w:space="0" w:color="D8E1E8"/>
          <w:bottom w:val="single" w:sz="4" w:space="0" w:color="D8E1E8"/>
          <w:right w:val="single" w:sz="4" w:space="0" w:color="D8E1E8"/>
          <w:insideH w:val="single" w:sz="4" w:space="0" w:color="D8E1E8"/>
          <w:insideV w:val="single" w:sz="4" w:space="0" w:color="D8E1E8"/>
        </w:tblBorders>
      </w:tblPr>
      <w:tblGrid>
        <w:gridCol w:w="2232"/>
        <w:gridCol w:w="7056"/>
      </w:tblGrid>
      <w:tr>
        <w:trPr>
          <w:cantSplit/>
        </w:trPr>
        <w:tc>
          <w:tcPr>
            <w:tcW w:type="dxa" w:w="4997"/>
            <w:shd w:fill="142A3A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Commercial target</w:t>
            </w:r>
          </w:p>
        </w:tc>
        <w:tc>
          <w:tcPr>
            <w:tcW w:type="dxa" w:w="4997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17212B"/>
                <w:sz w:val="18"/>
              </w:rPr>
              <w:t>Single purchase / test bundle at or below ₩99,000 retail, subject to partner-lab economics.</w:t>
            </w:r>
          </w:p>
        </w:tc>
      </w:tr>
      <w:tr>
        <w:trPr>
          <w:cantSplit/>
        </w:trPr>
        <w:tc>
          <w:tcPr>
            <w:tcW w:type="dxa" w:w="4997"/>
            <w:shd w:fill="F7F9FB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8"/>
              </w:rPr>
              <w:t>Core promise</w:t>
            </w:r>
          </w:p>
        </w:tc>
        <w:tc>
          <w:tcPr>
            <w:tcW w:type="dxa" w:w="4997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17212B"/>
                <w:sz w:val="18"/>
              </w:rPr>
              <w:t>“Your genetic health profile stays on your phone.”</w:t>
            </w:r>
          </w:p>
        </w:tc>
      </w:tr>
      <w:tr>
        <w:trPr>
          <w:cantSplit/>
        </w:trPr>
        <w:tc>
          <w:tcPr>
            <w:tcW w:type="dxa" w:w="4997"/>
            <w:shd w:fill="F7F9FB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8"/>
              </w:rPr>
              <w:t>MVP regulatory stance</w:t>
            </w:r>
          </w:p>
        </w:tc>
        <w:tc>
          <w:tcPr>
            <w:tcW w:type="dxa" w:w="4997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17212B"/>
                <w:sz w:val="18"/>
              </w:rPr>
              <w:t>Certified DTC lab performs the test; app explains approved results and provides evidence-bounded wellness guidance.</w:t>
            </w:r>
          </w:p>
        </w:tc>
      </w:tr>
      <w:tr>
        <w:trPr>
          <w:cantSplit/>
        </w:trPr>
        <w:tc>
          <w:tcPr>
            <w:tcW w:type="dxa" w:w="4997"/>
            <w:shd w:fill="F7F9FB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8"/>
              </w:rPr>
              <w:t>Audience for this document</w:t>
            </w:r>
          </w:p>
        </w:tc>
        <w:tc>
          <w:tcPr>
            <w:tcW w:type="dxa" w:w="4997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17212B"/>
                <w:sz w:val="18"/>
              </w:rPr>
              <w:t>Founder, product manager, coding AI, design AI, privacy/security engineer, lab partner, and Korean regulatory counsel.</w:t>
            </w:r>
          </w:p>
        </w:tc>
      </w:tr>
    </w:tbl>
    <w:p>
      <w:pPr>
        <w:spacing w:after="80" w:line="269" w:lineRule="auto"/>
      </w:pPr>
      <w:r>
        <w:rPr>
          <w:rFonts w:ascii="Noto Sans CJK KR" w:hAnsi="Noto Sans CJK KR" w:eastAsia="Noto Sans CJK KR"/>
          <w:i w:val="0"/>
          <w:color w:val="607080"/>
          <w:sz w:val="18"/>
        </w:rPr>
        <w:t>Version 0.1 • Prepared 8 August 2026 • Korea regulatory baseline checked against official Korean government sources.</w:t>
      </w:r>
    </w:p>
    <w:p>
      <w:pPr>
        <w:spacing w:after="0" w:line="269" w:lineRule="auto"/>
      </w:pPr>
      <w:r>
        <w:rPr>
          <w:rFonts w:ascii="Noto Sans CJK KR" w:hAnsi="Noto Sans CJK KR" w:eastAsia="Noto Sans CJK KR"/>
          <w:i w:val="0"/>
          <w:color w:val="9E3F3F"/>
          <w:sz w:val="18"/>
        </w:rPr>
        <w:t>Important: This is a product/regulatory planning document, not a formal Korean legal opinion. A Korean healthcare/privacy lawyer and MFDS classification consultation should sign off before public launch.</w:t>
      </w:r>
    </w:p>
    <w:p>
      <w:r>
        <w:br w:type="page"/>
      </w:r>
    </w:p>
    <w:p>
      <w:pPr>
        <w:spacing w:after="80"/>
      </w:pPr>
      <w:r>
        <w:rPr>
          <w:rFonts w:ascii="Noto Sans CJK KR" w:hAnsi="Noto Sans CJK KR" w:eastAsia="Noto Sans CJK KR"/>
          <w:b/>
          <w:color w:val="FFFFFF"/>
          <w:sz w:val="17"/>
          <w:shd w:fill="197B78"/>
        </w:rPr>
        <w:t xml:space="preserve"> EXECUTIVE DECISION </w:t>
      </w:r>
    </w:p>
    <w:p>
      <w:pPr>
        <w:spacing w:after="100"/>
        <w:keepNext/>
      </w:pPr>
      <w:r>
        <w:rPr>
          <w:rFonts w:ascii="Noto Sans CJK KR" w:hAnsi="Noto Sans CJK KR" w:eastAsia="Noto Sans CJK KR"/>
          <w:b/>
          <w:color w:val="142A3A"/>
          <w:sz w:val="38"/>
        </w:rPr>
        <w:t>Should this startup be built?</w:t>
      </w:r>
    </w:p>
    <w:p>
      <w:pPr>
        <w:spacing w:after="280"/>
      </w:pPr>
      <w:r>
        <w:rPr>
          <w:rFonts w:ascii="Noto Sans CJK KR" w:hAnsi="Noto Sans CJK KR" w:eastAsia="Noto Sans CJK KR"/>
          <w:color w:val="607080"/>
          <w:sz w:val="21"/>
        </w:rPr>
        <w:t>Yes — but the buildable product is narrower and more defensible than “AI predicts every disease from DNA.” The product should be a certified-test companion and private genetic health wallet first, with regulated clinical capabilities added later.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288"/>
      </w:tblGrid>
      <w:tr>
        <w:trPr>
          <w:cantSplit/>
        </w:trPr>
        <w:tc>
          <w:tcPr>
            <w:tcW w:type="dxa" w:w="4997"/>
            <w:shd w:fill="2E6B5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97"/>
            <w:shd w:fill="EDF7F1"/>
            <w:tcMar>
              <w:top w:w="13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2E6B55"/>
                <w:sz w:val="22"/>
              </w:rPr>
              <w:t>GO — with a controlled launch model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7212B"/>
                <w:sz w:val="21"/>
              </w:rPr>
              <w:t>The concept is technically feasible and can be structured for Korea. The strongest MVP is: certified DTC lab → user receives result → app imports result → deterministic on-device profile → evidence-bounded wellness explanations. The company should not collect specimens, run sequencing, independently create medical diagnoses, or train a cloud model on customer DNA.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The one-sentence product</w:t>
      </w:r>
    </w:p>
    <w:p>
      <w:pPr>
        <w:spacing w:after="120" w:line="269" w:lineRule="auto"/>
      </w:pPr>
      <w:r>
        <w:rPr>
          <w:rFonts w:ascii="Noto Sans CJK KR" w:hAnsi="Noto Sans CJK KR" w:eastAsia="Noto Sans CJK KR"/>
          <w:i w:val="0"/>
          <w:color w:val="17212B"/>
          <w:sz w:val="21"/>
        </w:rPr>
        <w:t>A Korean consumer buys a supported genetic test, imports the lab-issued result into the app, and receives a lifelong, locally stored genetic wellness profile that explains food, lifestyle, and permitted health-related traits without sending the genetic profile to the company’s servers.</w:t>
      </w:r>
    </w:p>
    <w:p>
      <w:pPr>
        <w:pStyle w:val="Heading2"/>
        <w:keepNext/>
      </w:pPr>
      <w:r>
        <w:t>What “works” and what does not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2376"/>
        <w:gridCol w:w="3528"/>
        <w:gridCol w:w="3312"/>
      </w:tblGrid>
      <w:tr>
        <w:trPr>
          <w:tblHeader w:val="true"/>
          <w:cantSplit/>
        </w:trPr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Answer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Product consequence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Can the user obtain their own medical records?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Generally yes for records/copies; raw FASTQ/BAM/VCF availability is not guaranteed.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Do not make raw hospital sequencing files a launch dependency.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Can the app store genetic results?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Genetic test results are sensitive information under PIPA when the company processes them.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Prefer local-only encrypted storage; separate consent if the company receives/processes them.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Can the startup sell/arrange a test?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Use a certified genetic testing partner; DTC testing is subject to certification and test-scope rules.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Lab should remain the testing institution and be clearly identified.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Can the app say “you have disease X”?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High legal and safety risk; diagnosis/medical acts and digital medical-device rules can apply.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MVP must avoid diagnosis and treatment decisions.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Can it give food/lifestyle suggestions?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Yes more plausibly if framed as general wellness education tied to supported lab results.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Use evidence grades and non-deterministic copy; avoid disease-treatment diets.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Can there be no genomic server?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Yes as an architecture choice.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Keep commerce/update services separate from genomic data and telemetry.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Founder go/no-go gates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A certified Korean DTC lab partner can provide enough useful, legally supported traits at a wholesale cost that fits the ≤₩99,000 all-in target.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MFDS confirms the intended-use lane (non-medical explanation vs. digital medical/health-support device vs. digital medical device) and the startup completes any required filing/certification.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Every result shown by the MVP can be traced to the partner lab result and a versioned evidence source; the app does not invent new disease risk from raw variants.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The app can operate with zero genotype/trait telemetry and with encrypted local deletion/export controls.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Marketing can be compelling without claiming diagnosis, prevention of a named disease, treatment selection, or “perfect diet from DNA.”</w:t>
      </w:r>
    </w:p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/>
          <w:color w:val="FFFFFF"/>
          <w:sz w:val="17"/>
          <w:shd w:fill="197B78"/>
        </w:rPr>
        <w:t xml:space="preserve"> 01 </w:t>
      </w:r>
    </w:p>
    <w:p>
      <w:pPr>
        <w:spacing w:after="100"/>
        <w:keepNext/>
      </w:pPr>
      <w:r>
        <w:rPr>
          <w:rFonts w:ascii="Noto Sans CJK KR" w:hAnsi="Noto Sans CJK KR" w:eastAsia="Noto Sans CJK KR"/>
          <w:b/>
          <w:color w:val="142A3A"/>
          <w:sz w:val="38"/>
        </w:rPr>
        <w:t>Product concept &amp; positioning</w:t>
      </w:r>
    </w:p>
    <w:p>
      <w:pPr>
        <w:spacing w:after="280"/>
      </w:pPr>
      <w:r>
        <w:rPr>
          <w:rFonts w:ascii="Noto Sans CJK KR" w:hAnsi="Noto Sans CJK KR" w:eastAsia="Noto Sans CJK KR"/>
          <w:color w:val="607080"/>
          <w:sz w:val="21"/>
        </w:rPr>
        <w:t>Build a health companion, not a lab and not a diagnostic chatbot. The DNA test is an onboarding event; the long-term product is a private, understandable health profile.</w:t>
      </w:r>
    </w:p>
    <w:p>
      <w:pPr>
        <w:pStyle w:val="Heading2"/>
        <w:keepNext/>
      </w:pPr>
      <w:r>
        <w:t>Product thesis</w:t>
      </w:r>
    </w:p>
    <w:p>
      <w:pPr>
        <w:spacing w:after="120" w:line="269" w:lineRule="auto"/>
      </w:pPr>
      <w:r>
        <w:rPr>
          <w:rFonts w:ascii="Noto Sans CJK KR" w:hAnsi="Noto Sans CJK KR" w:eastAsia="Noto Sans CJK KR"/>
          <w:i w:val="0"/>
          <w:color w:val="17212B"/>
          <w:sz w:val="21"/>
        </w:rPr>
        <w:t>Most consumers do not need another raw genotype viewer. They need a clear answer to: “What does this result mean for me, what can I reasonably do with it, how strong is the evidence, and what should I not conclude?” The product’s differentiation is therefore interpretation UX, privacy, provenance, and durable local ownership — not sequencing technology.</w:t>
      </w:r>
    </w:p>
    <w:p>
      <w:pPr>
        <w:pStyle w:val="Heading2"/>
        <w:keepNext/>
      </w:pPr>
      <w:r>
        <w:t>Recommended positioning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2880"/>
        <w:gridCol w:w="6336"/>
      </w:tblGrid>
      <w:tr>
        <w:trPr>
          <w:cantSplit/>
        </w:trPr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Category</w:t>
            </w:r>
          </w:p>
        </w:tc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Personal genetic wellness / private health companion.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Primary promise</w:t>
            </w:r>
          </w:p>
        </w:tc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Understand your certified genetic test in plain Korean and keep the profile on your own device.</w:t>
            </w:r>
          </w:p>
        </w:tc>
      </w:tr>
      <w:tr>
        <w:trPr>
          <w:cantSplit/>
        </w:trPr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Commercial model</w:t>
            </w:r>
          </w:p>
        </w:tc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One-time test package / unlock; target all-in retail ≤ ₩99,000.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Privacy promise</w:t>
            </w:r>
          </w:p>
        </w:tc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No central genomic profile database; raw/result data is processed and stored locally wherever technically possible.</w:t>
            </w:r>
          </w:p>
        </w:tc>
      </w:tr>
      <w:tr>
        <w:trPr>
          <w:cantSplit/>
        </w:trPr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Scientific promise</w:t>
            </w:r>
          </w:p>
        </w:tc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Every insight is bounded by the test actually performed and by an evidence grade.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MVP audience</w:t>
            </w:r>
          </w:p>
        </w:tc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Adults in Korea who are curious about nutrition, alcohol/caffeine response, wellness traits and supported genetic health information.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The product is NOT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A whole-genome sequencing company.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A replacement for a physician or genetic counselor.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A system that guarantees which diseases a user will develop.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A medication prescriber or dose optimizer in the MVP.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A service that silently uploads customer DNA to an LLM provider.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A database that monetizes genetic information or trains models on it by default.</w:t>
      </w:r>
    </w:p>
    <w:p>
      <w:pPr>
        <w:pStyle w:val="Heading2"/>
        <w:keepNext/>
      </w:pPr>
      <w:r>
        <w:t>Product language that the design system should enforce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3168"/>
        <w:gridCol w:w="6048"/>
      </w:tblGrid>
      <w:tr>
        <w:trPr>
          <w:tblHeader w:val="true"/>
          <w:cantSplit/>
        </w:trPr>
        <w:tc>
          <w:tcPr>
            <w:tcW w:type="dxa" w:w="4997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Avoid</w:t>
            </w:r>
          </w:p>
        </w:tc>
        <w:tc>
          <w:tcPr>
            <w:tcW w:type="dxa" w:w="4997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Use instead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“You will get diabetes.”</w:t>
            </w:r>
          </w:p>
        </w:tc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“This result may be associated with a higher/lower genetic tendency. It does not determine whether you will develop the condition.”</w:t>
            </w:r>
          </w:p>
        </w:tc>
      </w:tr>
      <w:tr>
        <w:trPr>
          <w:cantSplit/>
        </w:trPr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“Bad gene / good gene.”</w:t>
            </w:r>
          </w:p>
        </w:tc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“Variant / trait / evidence level.”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“Your perfect diet.”</w:t>
            </w:r>
          </w:p>
        </w:tc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“Food and lifestyle ideas consistent with this trait and general health guidance.”</w:t>
            </w:r>
          </w:p>
        </w:tc>
      </w:tr>
      <w:tr>
        <w:trPr>
          <w:cantSplit/>
        </w:trPr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“AI diagnosis.”</w:t>
            </w:r>
          </w:p>
        </w:tc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“AI-assisted explanation of your stored result.”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“Take / stop this drug.”</w:t>
            </w:r>
          </w:p>
        </w:tc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“This result may be relevant to medication response. Discuss it with a clinician or pharmacist.”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/>
          <w:color w:val="FFFFFF"/>
          <w:sz w:val="17"/>
          <w:shd w:fill="197B78"/>
        </w:rPr>
        <w:t xml:space="preserve"> 02 </w:t>
      </w:r>
    </w:p>
    <w:p>
      <w:pPr>
        <w:spacing w:after="100"/>
        <w:keepNext/>
      </w:pPr>
      <w:r>
        <w:rPr>
          <w:rFonts w:ascii="Noto Sans CJK KR" w:hAnsi="Noto Sans CJK KR" w:eastAsia="Noto Sans CJK KR"/>
          <w:b/>
          <w:color w:val="142A3A"/>
          <w:sz w:val="38"/>
        </w:rPr>
        <w:t>Korean regulatory operating model</w:t>
      </w:r>
    </w:p>
    <w:p>
      <w:pPr>
        <w:spacing w:after="280"/>
      </w:pPr>
      <w:r>
        <w:rPr>
          <w:rFonts w:ascii="Noto Sans CJK KR" w:hAnsi="Noto Sans CJK KR" w:eastAsia="Noto Sans CJK KR"/>
          <w:color w:val="607080"/>
          <w:sz w:val="21"/>
        </w:rPr>
        <w:t>The legal strategy is a product architecture. Features, data flows, copy, and partnerships should be designed around the regulatory lane from day one.</w:t>
      </w:r>
    </w:p>
    <w:p>
      <w:r>
        <w:drawing>
          <wp:inline xmlns:a="http://schemas.openxmlformats.org/drawingml/2006/main" xmlns:pic="http://schemas.openxmlformats.org/drawingml/2006/picture">
            <wp:extent cx="5989320" cy="3368992"/>
            <wp:docPr id="1" name="Picture 1" descr="Three Korean regulatory feature lanes for the product: MVP wellness and explanation, controlled health-support product, and regulated diagnosis or treatment predi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hAnsi="Noto Sans CJK KR" w:eastAsia="Noto Sans CJK KR"/>
          <w:i/>
          <w:color w:val="607080"/>
          <w:sz w:val="17"/>
        </w:rPr>
        <w:t>Figure 1. Recommended regulatory feature lanes for the Korean launch.</w:t>
      </w:r>
    </w:p>
    <w:p>
      <w:pPr>
        <w:pStyle w:val="Heading2"/>
        <w:keepNext/>
      </w:pPr>
      <w:r>
        <w:t>Recommended entity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1872"/>
        <w:gridCol w:w="3888"/>
        <w:gridCol w:w="3456"/>
      </w:tblGrid>
      <w:tr>
        <w:trPr>
          <w:tblHeader w:val="true"/>
          <w:cantSplit/>
        </w:trPr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Party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Must not silently become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Startup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App publisher, consumer UX, local data wallet, approved interpretation layer, commerce/entitlement.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Unregistered genetic testing institution or unlicensed medical provider.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Certified DTC lab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Kit, specimen collection process, genetic test, lab quality system, authorized result generation.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Invisible subcontractor whose identity/regulatory status is hidden.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User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Purchases/consents, provides specimen to lab, imports/controls own result.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Source of data that can be reused for research without separate permission.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Medical advisor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Reviews scientific content, escalation rules, contraindicated claims.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Real-time treating physician unless a proper clinical service is built.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Why the lab partnership matters</w:t>
      </w:r>
    </w:p>
    <w:p>
      <w:pPr>
        <w:spacing w:after="120" w:line="269" w:lineRule="auto"/>
      </w:pPr>
      <w:r>
        <w:rPr>
          <w:rFonts w:ascii="Noto Sans CJK KR" w:hAnsi="Noto Sans CJK KR" w:eastAsia="Noto Sans CJK KR"/>
          <w:i w:val="0"/>
          <w:color w:val="17212B"/>
          <w:sz w:val="21"/>
        </w:rPr>
        <w:t>Korea’s Bioethics and Safety Act requires certification for consumer-direct genetic testing institutions and restricts disease-related genetic testing by non-medical institutions except within specified pathways. The certification framework explicitly considers result analysis, interpretation, communication, and personal-information protection. [L1–L3]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288"/>
      </w:tblGrid>
      <w:tr>
        <w:trPr>
          <w:cantSplit/>
        </w:trPr>
        <w:tc>
          <w:tcPr>
            <w:tcW w:type="dxa" w:w="4997"/>
            <w:shd w:fill="A5670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97"/>
            <w:shd w:fill="FFF7E6"/>
            <w:tcMar>
              <w:top w:w="13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A56700"/>
                <w:sz w:val="22"/>
              </w:rPr>
              <w:t>MVP legal posture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7212B"/>
                <w:sz w:val="21"/>
              </w:rPr>
              <w:t>Do not market the startup as the entity “performing a genetic test.” The certified partner lab should own the test process and issue the authoritative result. The app should import that result and provide a bounded explanation/profile layer. Any plan to independently derive new clinical findings from raw variants should trigger a separate Korean legal + MFDS review.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Patient access to hospital results</w:t>
      </w:r>
    </w:p>
    <w:p>
      <w:pPr>
        <w:spacing w:after="120" w:line="269" w:lineRule="auto"/>
      </w:pPr>
      <w:r>
        <w:rPr>
          <w:rFonts w:ascii="Noto Sans CJK KR" w:hAnsi="Noto Sans CJK KR" w:eastAsia="Noto Sans CJK KR"/>
          <w:i w:val="0"/>
          <w:color w:val="17212B"/>
          <w:sz w:val="21"/>
        </w:rPr>
        <w:t>Under Medical Service Act Article 21, a patient may request access to or copies of their own records and providers generally may not refuse without a legitimate reason. This supports a future “import my hospital report” flow. However, the statute does not mean every hospital must provide sequencer-native files such as FASTQ/BAM/VCF; whether those files are part of the releasable record can depend on the hospital/laboratory workflow. [L11]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288"/>
      </w:tblGrid>
      <w:tr>
        <w:trPr>
          <w:cantSplit/>
        </w:trPr>
        <w:tc>
          <w:tcPr>
            <w:tcW w:type="dxa" w:w="4997"/>
            <w:shd w:fill="197B7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97"/>
            <w:shd w:fill="E8F5F3"/>
            <w:tcMar>
              <w:top w:w="13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97B78"/>
                <w:sz w:val="22"/>
              </w:rPr>
              <w:t>Product decision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7212B"/>
                <w:sz w:val="21"/>
              </w:rPr>
              <w:t>Phase 1 must not depend on raw hospital sequencing files. Support a partner-lab structured bundle first; add hospital report import later as a compatibility feature.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Digital medical-product classification</w:t>
      </w:r>
    </w:p>
    <w:p>
      <w:pPr>
        <w:spacing w:after="120" w:line="269" w:lineRule="auto"/>
      </w:pPr>
      <w:r>
        <w:rPr>
          <w:rFonts w:ascii="Noto Sans CJK KR" w:hAnsi="Noto Sans CJK KR" w:eastAsia="Noto Sans CJK KR"/>
          <w:i w:val="0"/>
          <w:color w:val="17212B"/>
          <w:sz w:val="21"/>
        </w:rPr>
        <w:t>Korea’s Digital Medical Products Act distinguishes digital medical devices used for diagnosis/treatment/prognosis/treatment prediction from digital medical/health-support devices used for medical support or health maintenance/improvement. MFDS states that the health-support category includes digitally enabled products that monitor, measure, collect or analyze biological signals for health support, and 2026 rules introduced manufacturing/import reporting and performance-certification mechanisms for this category. [L13–L17]</w:t>
      </w:r>
    </w:p>
    <w:p>
      <w:pPr>
        <w:spacing w:after="120" w:line="269" w:lineRule="auto"/>
      </w:pPr>
      <w:r>
        <w:rPr>
          <w:rFonts w:ascii="Noto Sans CJK KR" w:hAnsi="Noto Sans CJK KR" w:eastAsia="Noto Sans CJK KR"/>
          <w:i w:val="0"/>
          <w:color w:val="17212B"/>
          <w:sz w:val="21"/>
        </w:rPr>
        <w:t>Because a DNA-based health app analyzes biological information for health guidance, the startup should not assume “wellness” means “no MFDS obligations.” Before launch, request an MFDS classification/consultation based on the exact intended-use statement and screenshots. The same code can move categories if the claim changes.</w:t>
      </w:r>
    </w:p>
    <w:p>
      <w:pPr>
        <w:pStyle w:val="Heading2"/>
        <w:keepNext/>
      </w:pPr>
      <w:r>
        <w:t>AI Basic Act</w:t>
      </w:r>
    </w:p>
    <w:p>
      <w:pPr>
        <w:spacing w:after="120" w:line="269" w:lineRule="auto"/>
      </w:pPr>
      <w:r>
        <w:rPr>
          <w:rFonts w:ascii="Noto Sans CJK KR" w:hAnsi="Noto Sans CJK KR" w:eastAsia="Noto Sans CJK KR"/>
          <w:i w:val="0"/>
          <w:color w:val="17212B"/>
          <w:sz w:val="21"/>
        </w:rPr>
        <w:t>As of July 2026, Korea’s AI Basic Act treats AI used in healthcare systems and medical-device development/use as a potential high-impact AI domain. Providers of high-impact or generative-AI services have transparency duties; high-impact AI may also require risk management, explanation, user protection, human oversight and documentation. Businesses can request confirmation of whether a system qualifies as high-impact. [L18–L22]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288"/>
      </w:tblGrid>
      <w:tr>
        <w:trPr>
          <w:cantSplit/>
        </w:trPr>
        <w:tc>
          <w:tcPr>
            <w:tcW w:type="dxa" w:w="4997"/>
            <w:shd w:fill="142A3A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97"/>
            <w:shd w:fill="EDF4F8"/>
            <w:tcMar>
              <w:top w:w="13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42A3A"/>
                <w:sz w:val="22"/>
              </w:rPr>
              <w:t>AI implementation consequence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7212B"/>
                <w:sz w:val="21"/>
              </w:rPr>
              <w:t>Even if all inference runs on-device, the startup is still providing an AI-based product/service. Build AI disclosure, model/version documentation, human-reviewed safety policy, and a “why this result appears” explanation into the product from the beginning.</w:t>
            </w:r>
          </w:p>
        </w:tc>
      </w:tr>
    </w:tbl>
    <w:p>
      <w:pPr>
        <w:spacing w:after="20"/>
      </w:pPr>
    </w:p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/>
          <w:color w:val="FFFFFF"/>
          <w:sz w:val="17"/>
          <w:shd w:fill="197B78"/>
        </w:rPr>
        <w:t xml:space="preserve"> 03 </w:t>
      </w:r>
    </w:p>
    <w:p>
      <w:pPr>
        <w:spacing w:after="100"/>
        <w:keepNext/>
      </w:pPr>
      <w:r>
        <w:rPr>
          <w:rFonts w:ascii="Noto Sans CJK KR" w:hAnsi="Noto Sans CJK KR" w:eastAsia="Noto Sans CJK KR"/>
          <w:b/>
          <w:color w:val="142A3A"/>
          <w:sz w:val="38"/>
        </w:rPr>
        <w:t>Legal &amp; compliance matrix</w:t>
      </w:r>
    </w:p>
    <w:p>
      <w:pPr>
        <w:spacing w:after="280"/>
      </w:pPr>
      <w:r>
        <w:rPr>
          <w:rFonts w:ascii="Noto Sans CJK KR" w:hAnsi="Noto Sans CJK KR" w:eastAsia="Noto Sans CJK KR"/>
          <w:color w:val="607080"/>
          <w:sz w:val="21"/>
        </w:rPr>
        <w:t>This matrix translates Korean legal requirements into concrete engineering and product controls. It is intentionally conservative.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2520"/>
        <w:gridCol w:w="3240"/>
        <w:gridCol w:w="3456"/>
      </w:tblGrid>
      <w:tr>
        <w:trPr>
          <w:tblHeader w:val="true"/>
          <w:cantSplit/>
        </w:trPr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Law / rule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What matters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MVP control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Bioethics and Safety Act — DTC certification [L1]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Consumer-direct genetic testing institutions require certification covering testing competence, result interpretation/communication and privacy.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Partner only with a certified DTC lab; verify the exact certified test scope in the contract.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Bioethics Act — limits on testing [L2]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Non-medical genetic testing institutions face limits on disease prevention/diagnosis/treatment testing; false/exaggerated genetic advertising is prohibited.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Do not independently perform disease genetic testing; keep disease content within partner/regulated scope; legal review all claims.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Bioethics Act — consent [L3]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Specimen collection/testing requires written consent and special rules around handling/provision.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Startup should not collect specimen itself in MVP; lab owns consent flow for specimen and test.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PIPA Art. 23 + Decree Art. 18 [L4–L5]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Genetic information from genetic testing is sensitive information.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If the company ever receives it, obtain separate sensitive-information consent and apply heightened safeguards.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PIPA Art. 16 [L6]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Collect only minimum data required for the purpose.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Keep genomics off backend; no birthdate/address in profile unless strictly necessary.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PIPA Art. 21 [L7]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Destroy personal information when no longer needed and make destruction non-recoverable.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Raw import file defaults to delete-after-normalization; “Delete all profile data” must be one action.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PIPA Art. 29 + Decree safeguards [L8]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Technical/organizational/physical security measures are required.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Encrypted local DB, Keystore/Secure Enclave, no sensitive logs, security plan, access control for any backend PII.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PIPA Art. 30 [L9]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Privacy policy must disclose purposes, retention, third-party provision, destruction, etc.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Publish a plain-language privacy policy plus an in-app “Where my data lives” screen.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PIPA overseas transfer [L10]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Overseas transfer has separate legal conditions and disclosure/consent rules.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Do not send genetics to overseas cloud AI. If future cloud use is added, reopen legal review.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Medical Service Act Art. 27 [L12]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Non-medical persons may not perform medical acts.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No diagnosis, prescription, treatment instruction, or clinician impersonation.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Digital Medical Products Act [L13–L17]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Intended use can trigger health-support-device or digital-medical-device obligations.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MFDS classification before launch; freeze intended-use wording and feature claims after review.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AI Basic Act [L18–L22]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AI transparency; potential high-impact obligations in healthcare.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Display AI use, version outputs, risk documentation, human-reviewed content and explanation/provenance.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MVP exclusions that reduce legal complexity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Adults only. Do not support minors or family/child profiles at launch.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No pregnancy/fetal genetics, paternity, ancestry/kinship inference, or forensic use.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No raw VCF/BAM/FASTQ upload in the first release.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No new polygenic risk score generated by the startup.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No medication start/stop/dose recommendations.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No symptom diagnosis or triage chatbot.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No cloud LLM receives genotype, variant, disease-risk, or trait values.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No secondary research, model training, sale, advertising targeting, or broker access using user genetics.</w:t>
      </w:r>
    </w:p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/>
          <w:color w:val="FFFFFF"/>
          <w:sz w:val="17"/>
          <w:shd w:fill="197B78"/>
        </w:rPr>
        <w:t xml:space="preserve"> 04 </w:t>
      </w:r>
    </w:p>
    <w:p>
      <w:pPr>
        <w:spacing w:after="100"/>
        <w:keepNext/>
      </w:pPr>
      <w:r>
        <w:rPr>
          <w:rFonts w:ascii="Noto Sans CJK KR" w:hAnsi="Noto Sans CJK KR" w:eastAsia="Noto Sans CJK KR"/>
          <w:b/>
          <w:color w:val="142A3A"/>
          <w:sz w:val="38"/>
        </w:rPr>
        <w:t>End-to-end user journey</w:t>
      </w:r>
    </w:p>
    <w:p>
      <w:pPr>
        <w:spacing w:after="280"/>
      </w:pPr>
      <w:r>
        <w:rPr>
          <w:rFonts w:ascii="Noto Sans CJK KR" w:hAnsi="Noto Sans CJK KR" w:eastAsia="Noto Sans CJK KR"/>
          <w:color w:val="607080"/>
          <w:sz w:val="21"/>
        </w:rPr>
        <w:t>The experience should feel like one product even though the regulated test and the app have distinct responsibilities.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1080"/>
        <w:gridCol w:w="2520"/>
        <w:gridCol w:w="3024"/>
        <w:gridCol w:w="2592"/>
      </w:tblGrid>
      <w:tr>
        <w:trPr>
          <w:tblHeader w:val="true"/>
          <w:cantSplit/>
        </w:trPr>
        <w:tc>
          <w:tcPr>
            <w:tcW w:type="dxa" w:w="2498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2498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User experience</w:t>
            </w:r>
          </w:p>
        </w:tc>
        <w:tc>
          <w:tcPr>
            <w:tcW w:type="dxa" w:w="2498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System behavior</w:t>
            </w:r>
          </w:p>
        </w:tc>
        <w:tc>
          <w:tcPr>
            <w:tcW w:type="dxa" w:w="2498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Regulatory/data boundary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1. Discover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User sees “Private genetic wellness profile.”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Landing page shows supported categories and limits.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No diagnosis claims.</w:t>
            </w:r>
          </w:p>
        </w:tc>
      </w:tr>
      <w:tr>
        <w:trPr>
          <w:cantSplit/>
        </w:trPr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2. Purchase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User buys supported test package / partner test.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Order and entitlement created; no genetic data exists yet.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Merchant and lab identity clearly disclosed.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3. Consent + sample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User follows partner-lab kit instructions.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Lab owns specimen flow and genetic-test consent.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Startup does not possess specimen.</w:t>
            </w:r>
          </w:p>
        </w:tc>
      </w:tr>
      <w:tr>
        <w:trPr>
          <w:cantSplit/>
        </w:trPr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4. Lab result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User receives authoritative lab result.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Result bundle/report contains lab provenance and test version.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Lab remains source of truth.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5. Import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App asks permission to import and process locally.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File validated, parsed, normalized and encrypted locally.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No upload to startup backend.</w:t>
            </w:r>
          </w:p>
        </w:tc>
      </w:tr>
      <w:tr>
        <w:trPr>
          <w:cantSplit/>
        </w:trPr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6. Profile build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User sees 20–100+ trait cards depending on supported test.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Rule engine maps results to approved interpretation IDs.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No unsupported inference.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7. Explore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User reads food, lifestyle, trait and permitted health explanations.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Content retrieved from signed knowledge pack.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Every card shows evidence/provenance.</w:t>
            </w:r>
          </w:p>
        </w:tc>
      </w:tr>
      <w:tr>
        <w:trPr>
          <w:cantSplit/>
        </w:trPr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8. Ask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User asks questions about stored results.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On-device assistant only uses profile + approved content.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Diagnosis/medication boundary enforced.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9. Update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App downloads new public interpretation content.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Signed knowledge pack updates; profile recalculates locally.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User genetics never leave phone.</w:t>
            </w:r>
          </w:p>
        </w:tc>
      </w:tr>
      <w:tr>
        <w:trPr>
          <w:cantSplit/>
        </w:trPr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10. Delete/export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User can export/share or erase profile.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Encrypted export or complete local deletion.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User controls retention.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Ideal “first 10 minutes after results” experience</w:t>
      </w:r>
    </w:p>
    <w:p>
      <w:pPr>
        <w:pStyle w:val="ListNumber"/>
        <w:spacing w:after="60"/>
      </w:pPr>
      <w:r>
        <w:rPr>
          <w:rFonts w:ascii="Noto Sans CJK KR" w:hAnsi="Noto Sans CJK KR" w:eastAsia="Noto Sans CJK KR"/>
        </w:rPr>
        <w:t>Import the result and show a verification screen: lab, test name, date, number of supported traits, unsupported fields.</w:t>
      </w:r>
    </w:p>
    <w:p>
      <w:pPr>
        <w:pStyle w:val="ListNumber"/>
        <w:spacing w:after="60"/>
      </w:pPr>
      <w:r>
        <w:rPr>
          <w:rFonts w:ascii="Noto Sans CJK KR" w:hAnsi="Noto Sans CJK KR" w:eastAsia="Noto Sans CJK KR"/>
        </w:rPr>
        <w:t>Explain privacy in one sentence: “Your result was processed on this device. We did not upload your genetic profile.”</w:t>
      </w:r>
    </w:p>
    <w:p>
      <w:pPr>
        <w:pStyle w:val="ListNumber"/>
        <w:spacing w:after="60"/>
      </w:pPr>
      <w:r>
        <w:rPr>
          <w:rFonts w:ascii="Noto Sans CJK KR" w:hAnsi="Noto Sans CJK KR" w:eastAsia="Noto Sans CJK KR"/>
        </w:rPr>
        <w:t>Build a visual profile organized by Nutrition, Metabolism, Lifestyle, Fitness/Recovery, and Supported Health Information.</w:t>
      </w:r>
    </w:p>
    <w:p>
      <w:pPr>
        <w:pStyle w:val="ListNumber"/>
        <w:spacing w:after="60"/>
      </w:pPr>
      <w:r>
        <w:rPr>
          <w:rFonts w:ascii="Noto Sans CJK KR" w:hAnsi="Noto Sans CJK KR" w:eastAsia="Noto Sans CJK KR"/>
        </w:rPr>
        <w:t>Show three high-confidence “Start here” insights rather than a wall of 100 genetic cards.</w:t>
      </w:r>
    </w:p>
    <w:p>
      <w:pPr>
        <w:pStyle w:val="ListNumber"/>
        <w:spacing w:after="60"/>
      </w:pPr>
      <w:r>
        <w:rPr>
          <w:rFonts w:ascii="Noto Sans CJK KR" w:hAnsi="Noto Sans CJK KR" w:eastAsia="Noto Sans CJK KR"/>
        </w:rPr>
        <w:t>For each insight: result → meaning → evidence → reasonable action → what this does not mean.</w:t>
      </w:r>
    </w:p>
    <w:p>
      <w:pPr>
        <w:pStyle w:val="ListNumber"/>
        <w:spacing w:after="60"/>
      </w:pPr>
      <w:r>
        <w:rPr>
          <w:rFonts w:ascii="Noto Sans CJK KR" w:hAnsi="Noto Sans CJK KR" w:eastAsia="Noto Sans CJK KR"/>
        </w:rPr>
        <w:t>Offer “Ask about my results,” but constrain the assistant to the locally stored profile and approved content.</w:t>
      </w:r>
    </w:p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/>
          <w:color w:val="FFFFFF"/>
          <w:sz w:val="17"/>
          <w:shd w:fill="197B78"/>
        </w:rPr>
        <w:t xml:space="preserve"> 05 </w:t>
      </w:r>
    </w:p>
    <w:p>
      <w:pPr>
        <w:spacing w:after="100"/>
        <w:keepNext/>
      </w:pPr>
      <w:r>
        <w:rPr>
          <w:rFonts w:ascii="Noto Sans CJK KR" w:hAnsi="Noto Sans CJK KR" w:eastAsia="Noto Sans CJK KR"/>
          <w:b/>
          <w:color w:val="142A3A"/>
          <w:sz w:val="38"/>
        </w:rPr>
        <w:t>Local-first data architecture</w:t>
      </w:r>
    </w:p>
    <w:p>
      <w:pPr>
        <w:spacing w:after="280"/>
      </w:pPr>
      <w:r>
        <w:rPr>
          <w:rFonts w:ascii="Noto Sans CJK KR" w:hAnsi="Noto Sans CJK KR" w:eastAsia="Noto Sans CJK KR"/>
          <w:color w:val="607080"/>
          <w:sz w:val="21"/>
        </w:rPr>
        <w:t>“No genomic server” must be a real technical property, not a marketing sentence.</w:t>
      </w:r>
    </w:p>
    <w:p>
      <w:r>
        <w:drawing>
          <wp:inline xmlns:a="http://schemas.openxmlformats.org/drawingml/2006/main" xmlns:pic="http://schemas.openxmlformats.org/drawingml/2006/picture">
            <wp:extent cx="5989320" cy="3481292"/>
            <wp:docPr id="2" name="Picture 2" descr="Local-first genetic data flow from a certified laboratory to user-device import, deterministic local interpretation, encrypted local profile, and a separate non-genomic backen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81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hAnsi="Noto Sans CJK KR" w:eastAsia="Noto Sans CJK KR"/>
          <w:i/>
          <w:color w:val="607080"/>
          <w:sz w:val="17"/>
        </w:rPr>
        <w:t>Figure 2. Recommended data architecture: genomic profile stays within the device privacy boundary.</w:t>
      </w:r>
    </w:p>
    <w:p>
      <w:pPr>
        <w:pStyle w:val="Heading2"/>
        <w:keepNext/>
      </w:pPr>
      <w:r>
        <w:t>Data classes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2016"/>
        <w:gridCol w:w="2592"/>
        <w:gridCol w:w="2232"/>
        <w:gridCol w:w="2376"/>
      </w:tblGrid>
      <w:tr>
        <w:trPr>
          <w:tblHeader w:val="true"/>
          <w:cantSplit/>
        </w:trPr>
        <w:tc>
          <w:tcPr>
            <w:tcW w:type="dxa" w:w="2498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Data class</w:t>
            </w:r>
          </w:p>
        </w:tc>
        <w:tc>
          <w:tcPr>
            <w:tcW w:type="dxa" w:w="2498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2498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498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Retention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Genetic source file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Partner JSON, supported PDF, future VCF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Device only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Delete after successful normalization by default; user may retain encrypted copy.</w:t>
            </w:r>
          </w:p>
        </w:tc>
      </w:tr>
      <w:tr>
        <w:trPr>
          <w:cantSplit/>
        </w:trPr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Normalized genetic profile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trait_id, genotype/result code, evidence mapping, provenance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Encrypted device database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Until user deletes app/profile.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Knowledge pack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Public trait explanations, evidence grades, safe actions, citations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CDN + cached device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Versioned; no personal data.</w:t>
            </w:r>
          </w:p>
        </w:tc>
      </w:tr>
      <w:tr>
        <w:trPr>
          <w:cantSplit/>
        </w:trPr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Commerce data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order ID, entitlement, payment receipt status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Backend / PG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Per commerce/accounting requirements; never joined to genomic profile.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Fulfillment PII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name/address/phone if startup fulfills physical kit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Backend / fulfillment vendor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Minimize and delete per fulfillment/legal needs.</w:t>
            </w:r>
          </w:p>
        </w:tc>
      </w:tr>
      <w:tr>
        <w:trPr>
          <w:cantSplit/>
        </w:trPr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Analytics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screen performance, crashes, generic funnels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Backend analytics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Must exclude trait names, result values, report filenames, free-text health questions.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Recommended local profile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994"/>
            <w:shd w:fill="F3F6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color w:val="263746"/>
                <w:sz w:val="17"/>
              </w:rPr>
              <w:t>{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"profile_version": 1,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"source": {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  "lab_id": "partner_lab_01",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  "test_id": "wellness_panel_v3",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  "issued_at": "2026-08-01",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  "signature_verified": true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},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"traits": [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  {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    "trait_id": "caffeine_metabolism",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    "result_code": "SLOWER_METABOLISM",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    "evidence_grade": "A",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    "interpretation_id": "caf_slow_v2",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    "source_marker": "partner-defined marker or variant",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    "knowledge_version": "2026.08"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  }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]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Noto Sans CJK KR" w:hAnsi="Noto Sans CJK KR" w:eastAsia="Noto Sans CJK KR"/>
          <w:i w:val="0"/>
          <w:color w:val="607080"/>
          <w:sz w:val="18"/>
        </w:rPr>
        <w:t>The “result_code” and interpretation mapping should be deterministic. A generative model must never invent a result code or mutate the authoritative lab result.</w:t>
      </w:r>
    </w:p>
    <w:p>
      <w:pPr>
        <w:pStyle w:val="Heading2"/>
        <w:keepNext/>
      </w:pPr>
      <w:r>
        <w:t>Cryptography &amp; platform controls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Encrypt the profile database using a per-install data key protected by iOS Keychain/Secure Enclave and Android Keystore/StrongBox where available.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Use database-level encryption (for example, SQLCipher or equivalent) plus OS file protection.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Disable sensitive values in crash logs and analytics. Create a deny-list for keys such as rsid, genotype, disease, trait_result, report_text, medication and free_text_query.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Add optional biometric re-authentication before opening the profile or exporting results.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When the user deletes the profile, delete the encrypted DB and encryption key; verify no plaintext cache, thumbnail, temporary parser file, or backup artifact remains.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Exclude genomic files from cloud backup by default unless a future end-to-end encrypted backup feature is explicitly built.</w:t>
      </w:r>
    </w:p>
    <w:p>
      <w:pPr>
        <w:pStyle w:val="Heading2"/>
        <w:keepNext/>
      </w:pPr>
      <w:r>
        <w:t>Minimal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2880"/>
        <w:gridCol w:w="6336"/>
      </w:tblGrid>
      <w:tr>
        <w:trPr>
          <w:cantSplit/>
        </w:trPr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Allowed</w:t>
            </w:r>
          </w:p>
        </w:tc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Order status, payment entitlement, public content-pack version, app configuration, support ticket ID, device-neutral feature flags.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Forbidden</w:t>
            </w:r>
          </w:p>
        </w:tc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Raw genotype, normalized trait result, disease-risk values, uploaded report text, user health questions, genetic embeddings.</w:t>
            </w:r>
          </w:p>
        </w:tc>
      </w:tr>
      <w:tr>
        <w:trPr>
          <w:cantSplit/>
        </w:trPr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Optional account</w:t>
            </w:r>
          </w:p>
        </w:tc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Email/phone/social login can be offered, but the local profile must not depend on an account.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Knowledge updates</w:t>
            </w:r>
          </w:p>
        </w:tc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Download signed content packs; device applies them to local profile without uploading profile data.</w:t>
            </w:r>
          </w:p>
        </w:tc>
      </w:tr>
      <w:tr>
        <w:trPr>
          <w:cantSplit/>
        </w:trPr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Lab integration</w:t>
            </w:r>
          </w:p>
        </w:tc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Prefer device-direct retrieval from lab or user file import; startup backend should not proxy the result file.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/>
          <w:color w:val="FFFFFF"/>
          <w:sz w:val="17"/>
          <w:shd w:fill="197B78"/>
        </w:rPr>
        <w:t xml:space="preserve"> 06 </w:t>
      </w:r>
    </w:p>
    <w:p>
      <w:pPr>
        <w:spacing w:after="100"/>
        <w:keepNext/>
      </w:pPr>
      <w:r>
        <w:rPr>
          <w:rFonts w:ascii="Noto Sans CJK KR" w:hAnsi="Noto Sans CJK KR" w:eastAsia="Noto Sans CJK KR"/>
          <w:b/>
          <w:color w:val="142A3A"/>
          <w:sz w:val="38"/>
        </w:rPr>
        <w:t>Scientific content &amp; interpretation model</w:t>
      </w:r>
    </w:p>
    <w:p>
      <w:pPr>
        <w:spacing w:after="280"/>
      </w:pPr>
      <w:r>
        <w:rPr>
          <w:rFonts w:ascii="Noto Sans CJK KR" w:hAnsi="Noto Sans CJK KR" w:eastAsia="Noto Sans CJK KR"/>
          <w:color w:val="607080"/>
          <w:sz w:val="21"/>
        </w:rPr>
        <w:t>The main safety risk is not the LLM. It is an incorrect or overstated mapping from a genetic result to a health claim. Make that mapping deterministic, reviewable and versioned.</w:t>
      </w:r>
    </w:p>
    <w:p>
      <w:pPr>
        <w:pStyle w:val="Heading2"/>
        <w:keepNext/>
      </w:pPr>
      <w:r>
        <w:t>Evidence grading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1440"/>
        <w:gridCol w:w="1440"/>
        <w:gridCol w:w="3456"/>
        <w:gridCol w:w="2880"/>
      </w:tblGrid>
      <w:tr>
        <w:trPr>
          <w:tblHeader w:val="true"/>
          <w:cantSplit/>
        </w:trPr>
        <w:tc>
          <w:tcPr>
            <w:tcW w:type="dxa" w:w="2498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Grade</w:t>
            </w:r>
          </w:p>
        </w:tc>
        <w:tc>
          <w:tcPr>
            <w:tcW w:type="dxa" w:w="2498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MVP display</w:t>
            </w:r>
          </w:p>
        </w:tc>
        <w:tc>
          <w:tcPr>
            <w:tcW w:type="dxa" w:w="2498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498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Action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A — strong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Yes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Well-established association / clear biological or clinical support within the supported test context.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May drive a highlighted insight; still avoid deterministic disease claims.</w:t>
            </w:r>
          </w:p>
        </w:tc>
      </w:tr>
      <w:tr>
        <w:trPr>
          <w:cantSplit/>
        </w:trPr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B — moderate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Yes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Replicated association with meaningful but limited predictive value.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Display with stronger uncertainty language.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C — limited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Hidden by default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Small studies, population-specific, inconsistent effect, or weak utility.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Do not use for recommendations in MVP.</w:t>
            </w:r>
          </w:p>
        </w:tc>
      </w:tr>
      <w:tr>
        <w:trPr>
          <w:cantSplit/>
        </w:trPr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 — exploratory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No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Hypothesis-level or novelty content.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Research only, never consumer guidance.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Recommendation layers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2520"/>
        <w:gridCol w:w="1440"/>
        <w:gridCol w:w="5256"/>
      </w:tblGrid>
      <w:tr>
        <w:trPr>
          <w:tblHeader w:val="true"/>
          <w:cantSplit/>
        </w:trPr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Allowed in MVP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Example style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Explain the lab result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Yes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“Your report categorizes caffeine metabolism as slower.”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Explain association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Yes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“This trait is associated with slower caffeine clearance in the tested context.”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General wellness idea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Yes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“If caffeine affects your sleep, consider earlier timing and observe your response.”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Disease-risk inference not reported by lab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No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Do not compute or state a new disease probability.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Medication decision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No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Do not say to start/stop/change dose.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Diagnosis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No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Do not infer a diagnosis from genotype or user symptoms.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Nutrition / food design principle</w:t>
      </w:r>
    </w:p>
    <w:p>
      <w:pPr>
        <w:spacing w:after="120" w:line="269" w:lineRule="auto"/>
      </w:pPr>
      <w:r>
        <w:rPr>
          <w:rFonts w:ascii="Noto Sans CJK KR" w:hAnsi="Noto Sans CJK KR" w:eastAsia="Noto Sans CJK KR"/>
          <w:i w:val="0"/>
          <w:color w:val="17212B"/>
          <w:sz w:val="21"/>
        </w:rPr>
        <w:t>Food recommendations should not pretend DNA determines a perfect menu. Use genetics as one input into general wellness education. A trait can change the explanation or priority, but the product should not generate disease-treatment diets or precise therapeutic nutrient dosing without a separately validated/regulated pathway.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288"/>
      </w:tblGrid>
      <w:tr>
        <w:trPr>
          <w:cantSplit/>
        </w:trPr>
        <w:tc>
          <w:tcPr>
            <w:tcW w:type="dxa" w:w="4997"/>
            <w:shd w:fill="2E6B5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97"/>
            <w:shd w:fill="EDF7F1"/>
            <w:tcMar>
              <w:top w:w="13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2E6B55"/>
                <w:sz w:val="22"/>
              </w:rPr>
              <w:t>Safe content pattern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7212B"/>
                <w:sz w:val="21"/>
              </w:rPr>
              <w:t>Result → association → practical option → self-observation → evidence/limitations. Example: “Your report indicates a lactose-digestion trait associated with reduced lactose tolerance. If dairy causes symptoms, lactose-free options may be easier to tolerate. Genetics does not tell us whether you personally have symptoms.”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Health / disease section policy</w:t>
      </w:r>
    </w:p>
    <w:p>
      <w:pPr>
        <w:spacing w:after="120" w:line="269" w:lineRule="auto"/>
      </w:pPr>
      <w:r>
        <w:rPr>
          <w:rFonts w:ascii="Noto Sans CJK KR" w:hAnsi="Noto Sans CJK KR" w:eastAsia="Noto Sans CJK KR"/>
          <w:i w:val="0"/>
          <w:color w:val="17212B"/>
          <w:sz w:val="21"/>
        </w:rPr>
        <w:t>The app may eventually include a Health section, but the MVP should only show health-related findings that are explicitly part of the partner lab’s authorized/certified output and that pass legal/MFDS review. The app should not take a wellness panel and independently transform a few SNPs into a new “cancer/Alzheimer’s/diabetes risk” product.</w:t>
      </w:r>
    </w:p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/>
          <w:color w:val="FFFFFF"/>
          <w:sz w:val="17"/>
          <w:shd w:fill="197B78"/>
        </w:rPr>
        <w:t xml:space="preserve"> 07 </w:t>
      </w:r>
    </w:p>
    <w:p>
      <w:pPr>
        <w:spacing w:after="100"/>
        <w:keepNext/>
      </w:pPr>
      <w:r>
        <w:rPr>
          <w:rFonts w:ascii="Noto Sans CJK KR" w:hAnsi="Noto Sans CJK KR" w:eastAsia="Noto Sans CJK KR"/>
          <w:b/>
          <w:color w:val="142A3A"/>
          <w:sz w:val="38"/>
        </w:rPr>
        <w:t>AI architecture &amp; assistant behavior</w:t>
      </w:r>
    </w:p>
    <w:p>
      <w:pPr>
        <w:spacing w:after="280"/>
      </w:pPr>
      <w:r>
        <w:rPr>
          <w:rFonts w:ascii="Noto Sans CJK KR" w:hAnsi="Noto Sans CJK KR" w:eastAsia="Noto Sans CJK KR"/>
          <w:color w:val="607080"/>
          <w:sz w:val="21"/>
        </w:rPr>
        <w:t>Use AI for explanation and navigation, not as the source of genetic truth.</w:t>
      </w:r>
    </w:p>
    <w:p>
      <w:pPr>
        <w:pStyle w:val="Heading2"/>
        <w:keepNext/>
      </w:pPr>
      <w:r>
        <w:t>Recommended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2160"/>
        <w:gridCol w:w="4464"/>
        <w:gridCol w:w="2592"/>
      </w:tblGrid>
      <w:tr>
        <w:trPr>
          <w:tblHeader w:val="true"/>
          <w:cantSplit/>
        </w:trPr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Can be generative?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Result parser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Verify lab signature/schema; extract supported codes.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No. Deterministic only.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Interpretation engine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Map result code to interpretation_id and action tier.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No. Deterministic only.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Knowledge retriever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Fetch approved content for relevant interpretation IDs.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No. Deterministic search.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Personalization/ranking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Choose which cards to surface based on profile and user preferences.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Prefer deterministic or transparent scoring.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Language layer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Rewrite/answer questions using approved profile facts and knowledge.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Yes, preferably on-device and constrained.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Safety gate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Detect diagnosis, medication, pregnancy, emergency and unsupported requests.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Hybrid rules + model, with rule-based final enforcement.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Assistant system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994"/>
            <w:shd w:fill="F3F6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color w:val="263746"/>
                <w:sz w:val="17"/>
              </w:rPr>
              <w:t>ROLE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You explain only the user's locally stored, verified genetic-test results and the approved knowledge pack.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HARD RULES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1. Never infer a genotype, diagnosis, disease probability, medication change, pregnancy/fetal result, or paternity relationship not explicitly present in approved structured data.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2. Never turn “association” into certainty.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3. Never claim a food, supplement, exercise plan, or treatment will prevent/cure a disease because of a genetic result.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4. If a user asks about medication, quote only approved pharmacogenomic information if that module is enabled; otherwise direct them to a clinician/pharmacist.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5. If a question cannot be answered from the local profile + approved knowledge, say so.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6. Always expose the evidence grade and source/knowledge version on demand.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7. Do not send the user's genetic profile or question to a remote model unless a separately consented cloud mode is intentionally added in a later product version.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On-device model strategy</w:t>
      </w:r>
    </w:p>
    <w:p>
      <w:pPr>
        <w:spacing w:after="120" w:line="269" w:lineRule="auto"/>
      </w:pPr>
      <w:r>
        <w:rPr>
          <w:rFonts w:ascii="Noto Sans CJK KR" w:hAnsi="Noto Sans CJK KR" w:eastAsia="Noto Sans CJK KR"/>
          <w:i w:val="0"/>
          <w:color w:val="17212B"/>
          <w:sz w:val="21"/>
        </w:rPr>
        <w:t>The MVP does not require a large language model to create value. Start with deterministic cards and templated Q&amp;A. If conversational AI is added, use a compact on-device model or a local constrained generation layer over approved content. This avoids overseas transfer and reduces hallucination risk. A cloud assistant can be evaluated only after a separate privacy/regulatory design review.</w:t>
      </w:r>
    </w:p>
    <w:p>
      <w:pPr>
        <w:pStyle w:val="Heading2"/>
        <w:keepNext/>
      </w:pPr>
      <w:r>
        <w:t>Answer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2880"/>
        <w:gridCol w:w="6336"/>
      </w:tblGrid>
      <w:tr>
        <w:trPr>
          <w:cantSplit/>
        </w:trPr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1. Your result</w:t>
            </w:r>
          </w:p>
        </w:tc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Restate exactly what the lab result says.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2. What it may mean</w:t>
            </w:r>
          </w:p>
        </w:tc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One evidence-bounded association.</w:t>
            </w:r>
          </w:p>
        </w:tc>
      </w:tr>
      <w:tr>
        <w:trPr>
          <w:cantSplit/>
        </w:trPr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3. What it does not mean</w:t>
            </w:r>
          </w:p>
        </w:tc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State the key uncertainty / non-diagnostic limitation.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4. Practical next step</w:t>
            </w:r>
          </w:p>
        </w:tc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General wellness option or “discuss with a clinician” when appropriate.</w:t>
            </w:r>
          </w:p>
        </w:tc>
      </w:tr>
      <w:tr>
        <w:trPr>
          <w:cantSplit/>
        </w:trPr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5. Evidence</w:t>
            </w:r>
          </w:p>
        </w:tc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Grade, source, lab/test version, knowledge-pack version.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/>
          <w:color w:val="FFFFFF"/>
          <w:sz w:val="17"/>
          <w:shd w:fill="197B78"/>
        </w:rPr>
        <w:t xml:space="preserve"> 08 </w:t>
      </w:r>
    </w:p>
    <w:p>
      <w:pPr>
        <w:spacing w:after="100"/>
        <w:keepNext/>
      </w:pPr>
      <w:r>
        <w:rPr>
          <w:rFonts w:ascii="Noto Sans CJK KR" w:hAnsi="Noto Sans CJK KR" w:eastAsia="Noto Sans CJK KR"/>
          <w:b/>
          <w:color w:val="142A3A"/>
          <w:sz w:val="38"/>
        </w:rPr>
        <w:t>Information architecture &amp; screen specification</w:t>
      </w:r>
    </w:p>
    <w:p>
      <w:pPr>
        <w:spacing w:after="280"/>
      </w:pPr>
      <w:r>
        <w:rPr>
          <w:rFonts w:ascii="Noto Sans CJK KR" w:hAnsi="Noto Sans CJK KR" w:eastAsia="Noto Sans CJK KR"/>
          <w:color w:val="607080"/>
          <w:sz w:val="21"/>
        </w:rPr>
        <w:t>A design AI should be able to generate the complete MVP from the screen map below without inventing new medical features.</w:t>
      </w:r>
    </w:p>
    <w:p>
      <w:pPr>
        <w:pStyle w:val="Heading2"/>
        <w:keepNext/>
      </w:pPr>
      <w:r>
        <w:t>Primary navigation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1656"/>
        <w:gridCol w:w="2592"/>
        <w:gridCol w:w="4680"/>
      </w:tblGrid>
      <w:tr>
        <w:trPr>
          <w:tblHeader w:val="true"/>
          <w:cantSplit/>
        </w:trPr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Tab / surface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Key content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Home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Prioritized overview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Privacy status, 3 high-confidence insights, recent knowledge update, “Ask about my results”.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Profile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Complete genetic profile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Categories, filters, evidence levels, lab provenance.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Explore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Educational content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Trait explainers, food/lifestyle education, glossary; no personalized data required.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Privacy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Data ownership &amp; controls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Where data lives, delete, export, re-import, permissions, app-lock.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Ask (modal)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Constrained assistant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Only local profile + approved knowledge; safety boundary.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Screen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792"/>
        <w:gridCol w:w="2088"/>
        <w:gridCol w:w="6048"/>
      </w:tblGrid>
      <w:tr>
        <w:trPr>
          <w:tblHeader w:val="true"/>
          <w:cantSplit/>
        </w:trPr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Required elements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S01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Welcome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Value proposition; “genetic profile stays on your device”; supported-test list; continue.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S02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Scope &amp; safety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Not diagnosis; test limitations; adults-only; AI disclosure; link to privacy.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S03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Buy test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Partner lab identity; test categories; price; what is included; merchant disclosure.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S04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Order status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Kit shipped → sample registered → lab processing → result ready. No genetic values.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S05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Import result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Choose partner result file / secure link; local-processing notice; consent.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S06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Verification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Lab/test/date/signature; supported vs unsupported fields; build profile.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S07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Build progress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Local-only processing; no server upload; short educational animation.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S08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Home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Profile ready, three insights, evidence chips, privacy badge.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S09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Category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Nutrition / Metabolism / Lifestyle / Fitness / Supported Health.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S10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Trait detail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Result, meaning, evidence, action, limitations, source.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S11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Ask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Question input; example prompts; local/private badge; boundary responses.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S12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Data &amp; privacy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Device storage status, encryption, delete, export, diagnostics toggle.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S13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Knowledge update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What changed scientifically; no genetic upload; re-interpret locally.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S14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Share summary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User-selected export; redaction options; explicit warning before sharing.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Trait-detail component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2880"/>
        <w:gridCol w:w="6336"/>
      </w:tblGrid>
      <w:tr>
        <w:trPr>
          <w:cantSplit/>
        </w:trPr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Header</w:t>
            </w:r>
          </w:p>
        </w:tc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Trait name + category icon + evidence chip. Never “good/bad gene.”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Your result</w:t>
            </w:r>
          </w:p>
        </w:tc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Plain-language result code; optional technical details collapsed.</w:t>
            </w:r>
          </w:p>
        </w:tc>
      </w:tr>
      <w:tr>
        <w:trPr>
          <w:cantSplit/>
        </w:trPr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Meaning</w:t>
            </w:r>
          </w:p>
        </w:tc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2–4 sentences; one main association.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What you can do</w:t>
            </w:r>
          </w:p>
        </w:tc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1–3 general actions; no treatment language.</w:t>
            </w:r>
          </w:p>
        </w:tc>
      </w:tr>
      <w:tr>
        <w:trPr>
          <w:cantSplit/>
        </w:trPr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Limitations</w:t>
            </w:r>
          </w:p>
        </w:tc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Always visible; genetics is not destiny; environment and symptoms matter.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Evidence</w:t>
            </w:r>
          </w:p>
        </w:tc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Grade, last-reviewed date, source links/IDs, population caveats.</w:t>
            </w:r>
          </w:p>
        </w:tc>
      </w:tr>
      <w:tr>
        <w:trPr>
          <w:cantSplit/>
        </w:trPr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Source</w:t>
            </w:r>
          </w:p>
        </w:tc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Partner lab/test/version. If a field is unsupported, say so instead of guessing.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Design tone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Calm, scientific, private, modern — closer to a premium health wallet than a hospital dashboard.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Do not use red/green to imply genetically “bad/good.” Reserve red for safety blocks and errors.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Use neutral evidence chips: Strong / Moderate / Limited.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Show uncertainty visually: “associated with,” confidence language, and expandable evidence details.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Avoid gamification of disease risk, longevity scores, leaderboards, or anxiety-inducing push notifications.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Korea-first typography and localization. Korean should be the product default; English can be secondary.</w:t>
      </w:r>
    </w:p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/>
          <w:color w:val="FFFFFF"/>
          <w:sz w:val="17"/>
          <w:shd w:fill="197B78"/>
        </w:rPr>
        <w:t xml:space="preserve"> 09 </w:t>
      </w:r>
    </w:p>
    <w:p>
      <w:pPr>
        <w:spacing w:after="100"/>
        <w:keepNext/>
      </w:pPr>
      <w:r>
        <w:rPr>
          <w:rFonts w:ascii="Noto Sans CJK KR" w:hAnsi="Noto Sans CJK KR" w:eastAsia="Noto Sans CJK KR"/>
          <w:b/>
          <w:color w:val="142A3A"/>
          <w:sz w:val="38"/>
        </w:rPr>
        <w:t>Design system for a design AI</w:t>
      </w:r>
    </w:p>
    <w:p>
      <w:pPr>
        <w:spacing w:after="280"/>
      </w:pPr>
      <w:r>
        <w:rPr>
          <w:rFonts w:ascii="Noto Sans CJK KR" w:hAnsi="Noto Sans CJK KR" w:eastAsia="Noto Sans CJK KR"/>
          <w:color w:val="607080"/>
          <w:sz w:val="21"/>
        </w:rPr>
        <w:t>These constraints are part of safety. The UI must communicate uncertainty, provenance and privacy as first-class information.</w:t>
      </w:r>
    </w:p>
    <w:p>
      <w:pPr>
        <w:pStyle w:val="Heading2"/>
        <w:keepNext/>
      </w:pPr>
      <w:r>
        <w:t>Visual tokens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1728"/>
        <w:gridCol w:w="3888"/>
        <w:gridCol w:w="3600"/>
      </w:tblGrid>
      <w:tr>
        <w:trPr>
          <w:tblHeader w:val="true"/>
          <w:cantSplit/>
        </w:trPr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Recommended direction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Do not do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Primary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Deep navy for trust / structural hierarchy.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Clinical blue everywhere.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Accent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Muted teal for privacy, active states, positive interaction.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Neon “biohacking” green.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Warning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Warm amber for evidence limitations / regulatory boundaries.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Alarm red for ordinary risk tendency.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Danger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Muted red only for destructive action, security issue, urgent disclaimer.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Red “bad gene” labels.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Background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Warm/cool off-white with clean card surfaces.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Black hacker/DNA aesthetic.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Typography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Pretendard / system Korean sans; 17–20px key result, 14–16px body, 12–13px evidence metadata.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Tiny legal text or dense scientific tables as the main UI.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Core reusable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2088"/>
        <w:gridCol w:w="2376"/>
        <w:gridCol w:w="4752"/>
      </w:tblGrid>
      <w:tr>
        <w:trPr>
          <w:tblHeader w:val="true"/>
          <w:cantSplit/>
        </w:trPr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States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Critical behavior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Privacy badge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Local / Importing / Exported / Deleted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Tapping explains exactly where data lives.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Evidence chip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Strong / Moderate / Limited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Never hidden on personalized result cards.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Trait card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Neutral / new update / attention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Shows result + one sentence; no deterministic disease language.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Source footer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Lab + test + knowledge version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Always available on detail screen.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Boundary banner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Medication / diagnosis / unsupported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Stops unsafe flow and suggests safe next step.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Delete sheet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Profile only / source file / everything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Explains irreversible deletion and local scope.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Korean copy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2160"/>
        <w:gridCol w:w="7056"/>
      </w:tblGrid>
      <w:tr>
        <w:trPr>
          <w:tblHeader w:val="true"/>
          <w:cantSplit/>
        </w:trPr>
        <w:tc>
          <w:tcPr>
            <w:tcW w:type="dxa" w:w="4997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4997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Suggested Korean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Privacy promise</w:t>
            </w:r>
          </w:p>
        </w:tc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“유전 결과는 이 기기에서 처리되고 저장됩니다. 회사 서버에는 유전 프로필을 저장하지 않습니다.”</w:t>
            </w:r>
          </w:p>
        </w:tc>
      </w:tr>
      <w:tr>
        <w:trPr>
          <w:cantSplit/>
        </w:trPr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Uncertainty</w:t>
            </w:r>
          </w:p>
        </w:tc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“이 결과는 특정 경향과 관련이 있을 수 있지만, 질병 발생 여부를 결정하지는 않습니다.”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Medication boundary</w:t>
            </w:r>
          </w:p>
        </w:tc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“약 복용을 시작·중단하거나 용량을 바꾸는 근거로 사용하지 마세요. 의료진 또는 약사와 상의하세요.”</w:t>
            </w:r>
          </w:p>
        </w:tc>
      </w:tr>
      <w:tr>
        <w:trPr>
          <w:cantSplit/>
        </w:trPr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Unsupported</w:t>
            </w:r>
          </w:p>
        </w:tc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“현재 검사 결과만으로는 이 질문에 답할 수 없습니다.”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Evidence</w:t>
            </w:r>
          </w:p>
        </w:tc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“근거 수준: 강함 · 마지막 검토: 2026.08”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/>
          <w:color w:val="FFFFFF"/>
          <w:sz w:val="17"/>
          <w:shd w:fill="197B78"/>
        </w:rPr>
        <w:t xml:space="preserve"> 10 </w:t>
      </w:r>
    </w:p>
    <w:p>
      <w:pPr>
        <w:spacing w:after="100"/>
        <w:keepNext/>
      </w:pPr>
      <w:r>
        <w:rPr>
          <w:rFonts w:ascii="Noto Sans CJK KR" w:hAnsi="Noto Sans CJK KR" w:eastAsia="Noto Sans CJK KR"/>
          <w:b/>
          <w:color w:val="142A3A"/>
          <w:sz w:val="38"/>
        </w:rPr>
        <w:t>Engineering implementation specification</w:t>
      </w:r>
    </w:p>
    <w:p>
      <w:pPr>
        <w:spacing w:after="280"/>
      </w:pPr>
      <w:r>
        <w:rPr>
          <w:rFonts w:ascii="Noto Sans CJK KR" w:hAnsi="Noto Sans CJK KR" w:eastAsia="Noto Sans CJK KR"/>
          <w:color w:val="607080"/>
          <w:sz w:val="21"/>
        </w:rPr>
        <w:t>The core should be auditable and deterministic. The “AI” layer sits above a verified result engine, not inside it.</w:t>
      </w:r>
    </w:p>
    <w:p>
      <w:pPr>
        <w:pStyle w:val="Heading2"/>
        <w:keepNext/>
      </w:pPr>
      <w:r>
        <w:t>Recommended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2880"/>
        <w:gridCol w:w="6336"/>
      </w:tblGrid>
      <w:tr>
        <w:trPr>
          <w:cantSplit/>
        </w:trPr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Mobile</w:t>
            </w:r>
          </w:p>
        </w:tc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Flutter for iOS/Android consistency; native Swift/Kotlin bridges only where needed for secure storage, file APIs or on-device ML.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State / navigation</w:t>
            </w:r>
          </w:p>
        </w:tc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Riverpod + go_router (or equivalent predictable state/navigation architecture).</w:t>
            </w:r>
          </w:p>
        </w:tc>
      </w:tr>
      <w:tr>
        <w:trPr>
          <w:cantSplit/>
        </w:trPr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Local database</w:t>
            </w:r>
          </w:p>
        </w:tc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SQLite via Drift/Room-equivalent + SQLCipher or platform-equivalent encryption.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Secure key storage</w:t>
            </w:r>
          </w:p>
        </w:tc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iOS Keychain / Secure Enclave; Android Keystore / StrongBox where supported.</w:t>
            </w:r>
          </w:p>
        </w:tc>
      </w:tr>
      <w:tr>
        <w:trPr>
          <w:cantSplit/>
        </w:trPr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Rule engine</w:t>
            </w:r>
          </w:p>
        </w:tc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Small pure module (Dart or Rust core) with testable input → interpretation mapping.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Content packs</w:t>
            </w:r>
          </w:p>
        </w:tc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Versioned JSON/SQLite bundle signed by company release key; verify signature before activation.</w:t>
            </w:r>
          </w:p>
        </w:tc>
      </w:tr>
      <w:tr>
        <w:trPr>
          <w:cantSplit/>
        </w:trPr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On-device AI</w:t>
            </w:r>
          </w:p>
        </w:tc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Optional later: llama.cpp / ONNX Runtime / ExecuTorch-class runtime depending model and device constraints.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Backend</w:t>
            </w:r>
          </w:p>
        </w:tc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Minimal API for payment entitlement, order status, configuration and signed public content. No personalized genetics endpoints.</w:t>
            </w:r>
          </w:p>
        </w:tc>
      </w:tr>
      <w:tr>
        <w:trPr>
          <w:cantSplit/>
        </w:trPr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Observability</w:t>
            </w:r>
          </w:p>
        </w:tc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Crash/performance only; strict redaction; no trait IDs/result values/free-text health questions.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Module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994"/>
            <w:shd w:fill="F3F6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color w:val="263746"/>
                <w:sz w:val="17"/>
              </w:rPr>
              <w:t>/app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/commerce          # orders, entitlement; no genetics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/import             # file selection + schema/signature validation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/genome_core        # deterministic normalization + interpretation IDs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/profile            # encrypted local profile repository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/knowledge          # signed public content packs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/assistant          # local grounded Q&amp;A + safety policy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/privacy            # deletion, export, backup, lock state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/ui                 # design-system components and screens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/telemetry          # generic events with sensitive-field deny-list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Rule: commerce/telemetry modules cannot import genome_core/profile modules.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Supported result input —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1080"/>
        <w:gridCol w:w="2376"/>
        <w:gridCol w:w="5760"/>
      </w:tblGrid>
      <w:tr>
        <w:trPr>
          <w:tblHeader w:val="true"/>
          <w:cantSplit/>
        </w:trPr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Decision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P0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Partner signed structured bundle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Primary. Best safety, easiest validation, exact schema and provenance.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P1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Partner PDF with stable template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Supported only with deterministic template parser and manual verification screen.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P2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Other Korean lab PDF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Future compatibility adapters; do not use generic LLM extraction as sole source of truth.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P3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VCF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Future regulated module only.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P4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BAM / FASTQ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Not an app-MVP format. Very large and implies deeper bioinformatics / clinical interpretation.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Import acceptance rules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Reject result bundle if lab signature, schema version, checksum or test ID is invalid.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Show unsupported trait count instead of silently dropping it.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Never infer missing alleles/variants.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Never convert ambiguous PDF/OCR text to a health result without explicit user confirmation and a deterministic parser confidence rule.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Persist source provenance with every result so it can be traced and reinterpreted after knowledge updates.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If knowledge mapping changes, preserve previous interpretation version for audit/history.</w:t>
      </w:r>
    </w:p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/>
          <w:color w:val="FFFFFF"/>
          <w:sz w:val="17"/>
          <w:shd w:fill="197B78"/>
        </w:rPr>
        <w:t xml:space="preserve"> 11 </w:t>
      </w:r>
    </w:p>
    <w:p>
      <w:pPr>
        <w:spacing w:after="100"/>
        <w:keepNext/>
      </w:pPr>
      <w:r>
        <w:rPr>
          <w:rFonts w:ascii="Noto Sans CJK KR" w:hAnsi="Noto Sans CJK KR" w:eastAsia="Noto Sans CJK KR"/>
          <w:b/>
          <w:color w:val="142A3A"/>
          <w:sz w:val="38"/>
        </w:rPr>
        <w:t>Data contracts &amp; APIs</w:t>
      </w:r>
    </w:p>
    <w:p>
      <w:pPr>
        <w:spacing w:after="280"/>
      </w:pPr>
      <w:r>
        <w:rPr>
          <w:rFonts w:ascii="Noto Sans CJK KR" w:hAnsi="Noto Sans CJK KR" w:eastAsia="Noto Sans CJK KR"/>
          <w:color w:val="607080"/>
          <w:sz w:val="21"/>
        </w:rPr>
        <w:t>These contracts prevent accidental privacy regression when a coding AI adds “convenient” backend features.</w:t>
      </w:r>
    </w:p>
    <w:p>
      <w:pPr>
        <w:pStyle w:val="Heading2"/>
        <w:keepNext/>
      </w:pPr>
      <w:r>
        <w:t>Backend API — allowed surface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994"/>
            <w:shd w:fill="F3F6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color w:val="263746"/>
                <w:sz w:val="17"/>
              </w:rPr>
              <w:t>POST /v1/orders                 # create non-genomic order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GET  /v1/orders/{id}/status     # fulfillment status only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POST /v1/entitlements/verify    # verify paid access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GET  /v1/knowledge/latest       # public content-pack metadata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GET  /v1/knowledge/{version}    # signed public content pack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POST /v1/support/tickets        # no result/profile attachment by default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ABSENT BY DESIGN: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POST /upload-dna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POST /analyze-genome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POST /profile-sync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POST /ai-chat-with-genetics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POST /analytics/trait-result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Content-pack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994"/>
            <w:shd w:fill="F3F6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color w:val="263746"/>
                <w:sz w:val="17"/>
              </w:rPr>
              <w:t>{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"knowledge_version": "2026.08",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"signature": "...",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"interpretations": {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  "caf_slow_v2": {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    "title_ko": "카페인 대사 경향",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    "evidence_grade": "A",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    "meaning": "...approved copy...",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    "limitations": "...approved copy...",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    "actions": ["...general wellness action..."],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    "sources": ["source_id_001"],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    "prohibited_claims": ["diagnosis", "medication_change"]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  }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 xml:space="preserve">  }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Telemetry allow/deny 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4464"/>
        <w:gridCol w:w="4464"/>
      </w:tblGrid>
      <w:tr>
        <w:trPr>
          <w:tblHeader w:val="true"/>
          <w:cantSplit/>
        </w:trPr>
        <w:tc>
          <w:tcPr>
            <w:tcW w:type="dxa" w:w="4997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Allowed</w:t>
            </w:r>
          </w:p>
        </w:tc>
        <w:tc>
          <w:tcPr>
            <w:tcW w:type="dxa" w:w="4997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Forbidden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screen_view: profile_home</w:t>
            </w:r>
          </w:p>
        </w:tc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trait_id / genotype / variant / interpretation_id tied to a person</w:t>
            </w:r>
          </w:p>
        </w:tc>
      </w:tr>
      <w:tr>
        <w:trPr>
          <w:cantSplit/>
        </w:trPr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import_started / import_success / import_failed_reason_code</w:t>
            </w:r>
          </w:p>
        </w:tc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report filename, report text, raw file, parse payload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knowledge_pack_updated</w:t>
            </w:r>
          </w:p>
        </w:tc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disease name + user result</w:t>
            </w:r>
          </w:p>
        </w:tc>
      </w:tr>
      <w:tr>
        <w:trPr>
          <w:cantSplit/>
        </w:trPr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delete_profile_completed</w:t>
            </w:r>
          </w:p>
        </w:tc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free-text health questions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app_version / OS / device class</w:t>
            </w:r>
          </w:p>
        </w:tc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medication, pregnancy, symptoms, lab result values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/>
          <w:color w:val="FFFFFF"/>
          <w:sz w:val="17"/>
          <w:shd w:fill="197B78"/>
        </w:rPr>
        <w:t xml:space="preserve"> 12 </w:t>
      </w:r>
    </w:p>
    <w:p>
      <w:pPr>
        <w:spacing w:after="100"/>
        <w:keepNext/>
      </w:pPr>
      <w:r>
        <w:rPr>
          <w:rFonts w:ascii="Noto Sans CJK KR" w:hAnsi="Noto Sans CJK KR" w:eastAsia="Noto Sans CJK KR"/>
          <w:b/>
          <w:color w:val="142A3A"/>
          <w:sz w:val="38"/>
        </w:rPr>
        <w:t>Privacy &amp; security threat model</w:t>
      </w:r>
    </w:p>
    <w:p>
      <w:pPr>
        <w:spacing w:after="280"/>
      </w:pPr>
      <w:r>
        <w:rPr>
          <w:rFonts w:ascii="Noto Sans CJK KR" w:hAnsi="Noto Sans CJK KR" w:eastAsia="Noto Sans CJK KR"/>
          <w:color w:val="607080"/>
          <w:sz w:val="21"/>
        </w:rPr>
        <w:t>The privacy story is only credible if the design prevents common accidental leaks: logs, backups, screenshots, analytics, support attachments and cloud model calls.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1800"/>
        <w:gridCol w:w="3168"/>
        <w:gridCol w:w="3960"/>
      </w:tblGrid>
      <w:tr>
        <w:trPr>
          <w:tblHeader w:val="true"/>
          <w:cantSplit/>
        </w:trPr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Threat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Mitigation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Analytics leakage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“trait=cancer_risk_high” sent to analytics.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Schema deny-list; generic event names; automated tests inspect outbound events.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Crash-log leakage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Parser exception includes raw report line.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Structured error codes only; strip file contents before crash reporting.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OS/cloud backup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Encrypted DB copied to user cloud backup.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Disable profile DB backup by default or require E2E encrypted backup design.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Support leakage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User attaches raw DNA to support ticket.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Default support UI refuses genetic attachments; provide local diagnostics export without genetics.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Cloud AI leakage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Assistant sends full profile to remote API.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No remote AI endpoint in MVP; network policy test verifies assistant works offline.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Lost phone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Unlocked app reveals profile.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Device encryption + optional biometric app lock + hidden notification text.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Screen sharing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Sensitive result visible in screenshots.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Optional screenshot protection for detail/export screens; privacy warning.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Result tampering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Modified JSON produces false traits.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Lab signature + checksum + version validation.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Knowledge compromise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Malicious content pack changes guidance.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Signed packs; pin trusted release key; rollback support.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Privacy UX requirements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A “Privacy” screen must answer: What is on this phone? What is on our server? What does the lab have? What is shared with analytics?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User must be able to delete the genomic profile without deleting their purchase receipt/account and vice versa.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Provide a “Reset to zero” action that deletes import file, profile DB, assistant history, cached personalized content and local encryption key.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No dark pattern should make sensitive-data consent mandatory for features that do not require it.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If a future cloud feature is introduced, it must be separate opt-in, with a visible data-flow explanation and no silent migration from local mode.</w:t>
      </w:r>
    </w:p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/>
          <w:color w:val="FFFFFF"/>
          <w:sz w:val="17"/>
          <w:shd w:fill="197B78"/>
        </w:rPr>
        <w:t xml:space="preserve"> 13 </w:t>
      </w:r>
    </w:p>
    <w:p>
      <w:pPr>
        <w:spacing w:after="100"/>
        <w:keepNext/>
      </w:pPr>
      <w:r>
        <w:rPr>
          <w:rFonts w:ascii="Noto Sans CJK KR" w:hAnsi="Noto Sans CJK KR" w:eastAsia="Noto Sans CJK KR"/>
          <w:b/>
          <w:color w:val="142A3A"/>
          <w:sz w:val="38"/>
        </w:rPr>
        <w:t>MVP scope &amp; backlog</w:t>
      </w:r>
    </w:p>
    <w:p>
      <w:pPr>
        <w:spacing w:after="280"/>
      </w:pPr>
      <w:r>
        <w:rPr>
          <w:rFonts w:ascii="Noto Sans CJK KR" w:hAnsi="Noto Sans CJK KR" w:eastAsia="Noto Sans CJK KR"/>
          <w:color w:val="607080"/>
          <w:sz w:val="21"/>
        </w:rPr>
        <w:t>Keep the first release deliberately narrow so it can be legally classified, clinically reviewed and tested end-to-end.</w:t>
      </w:r>
    </w:p>
    <w:p>
      <w:pPr>
        <w:pStyle w:val="Heading2"/>
        <w:keepNext/>
      </w:pPr>
      <w:r>
        <w:t>MUST — launch scope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Partner-lab purchase / handoff flow with test scope and lab identity.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Adults-only onboarding, scope disclaimer, AI disclosure, privacy disclosure.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Partner signed result import; optional stable partner-PDF adapter.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Local normalization + encrypted profile database.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Five top-level categories: Nutrition, Metabolism, Lifestyle, Fitness/Recovery, Supported Health Information.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Evidence grade + provenance on every personalized insight.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Food/lifestyle guidance limited to approved general-wellness content.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Local delete/export controls and optional biometric lock.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Signed knowledge-pack update mechanism.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Safety boundary for diagnosis, medication, pregnancy/minors and unsupported questions.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No-sensitive-telemetry automated test suite.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MFDS classification outcome / required reporting completed before public launch.</w:t>
      </w:r>
    </w:p>
    <w:p>
      <w:pPr>
        <w:pStyle w:val="Heading2"/>
        <w:keepNext/>
      </w:pPr>
      <w:r>
        <w:t>SHOULD — if low risk after review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On-device conversational Q&amp;A grounded in profile + approved content.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Shareable doctor-summary PDF generated locally with user-selected results.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Lab result status inside the app without importing any genetics to the startup backend.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Accessibility mode and larger typography.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Korean-first content with English translation.</w:t>
      </w:r>
    </w:p>
    <w:p>
      <w:pPr>
        <w:pStyle w:val="Heading2"/>
        <w:keepNext/>
      </w:pPr>
      <w:r>
        <w:t>WON’T — MVP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VCF/BAM/FASTQ import.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Novel disease risk / polygenic risk scoring.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Medication dosing or treatment selection.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Family/child/pregnancy genetics.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Ancestry/relative matching/social DNA network.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Cloud genomic sync.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Genetic data monetization or research reuse.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Open-ended cloud chatbot with access to profile.</w:t>
      </w:r>
    </w:p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/>
          <w:color w:val="FFFFFF"/>
          <w:sz w:val="17"/>
          <w:shd w:fill="197B78"/>
        </w:rPr>
        <w:t xml:space="preserve"> 14 </w:t>
      </w:r>
    </w:p>
    <w:p>
      <w:pPr>
        <w:spacing w:after="100"/>
        <w:keepNext/>
      </w:pPr>
      <w:r>
        <w:rPr>
          <w:rFonts w:ascii="Noto Sans CJK KR" w:hAnsi="Noto Sans CJK KR" w:eastAsia="Noto Sans CJK KR"/>
          <w:b/>
          <w:color w:val="142A3A"/>
          <w:sz w:val="38"/>
        </w:rPr>
        <w:t>Engineering acceptance criteria</w:t>
      </w:r>
    </w:p>
    <w:p>
      <w:pPr>
        <w:spacing w:after="280"/>
      </w:pPr>
      <w:r>
        <w:rPr>
          <w:rFonts w:ascii="Noto Sans CJK KR" w:hAnsi="Noto Sans CJK KR" w:eastAsia="Noto Sans CJK KR"/>
          <w:color w:val="607080"/>
          <w:sz w:val="21"/>
        </w:rPr>
        <w:t>A coding AI should treat these as release gates, not suggestions.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1944"/>
        <w:gridCol w:w="7272"/>
      </w:tblGrid>
      <w:tr>
        <w:trPr>
          <w:tblHeader w:val="true"/>
          <w:cantSplit/>
        </w:trPr>
        <w:tc>
          <w:tcPr>
            <w:tcW w:type="dxa" w:w="4997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997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Import</w:t>
            </w:r>
          </w:p>
        </w:tc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Valid supported bundle imports offline; invalid signature/schema fails safely; no network call contains file/result content.</w:t>
            </w:r>
          </w:p>
        </w:tc>
      </w:tr>
      <w:tr>
        <w:trPr>
          <w:cantSplit/>
        </w:trPr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Profile</w:t>
            </w:r>
          </w:p>
        </w:tc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Every visible result maps to a source result code + interpretation ID + knowledge version.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Content</w:t>
            </w:r>
          </w:p>
        </w:tc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No personalized recommendation can render without an evidence grade and approved content ID.</w:t>
            </w:r>
          </w:p>
        </w:tc>
      </w:tr>
      <w:tr>
        <w:trPr>
          <w:cantSplit/>
        </w:trPr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Assistant</w:t>
            </w:r>
          </w:p>
        </w:tc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Unsupported/diagnostic/medication questions trigger the correct boundary response; assistant never invents genotype/result.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Deletion</w:t>
            </w:r>
          </w:p>
        </w:tc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One action removes profile DB, source cache, personalized assistant history and key; subsequent app launch shows no profile.</w:t>
            </w:r>
          </w:p>
        </w:tc>
      </w:tr>
      <w:tr>
        <w:trPr>
          <w:cantSplit/>
        </w:trPr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Telemetry</w:t>
            </w:r>
          </w:p>
        </w:tc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Automated integration test captures all outbound traffic and verifies forbidden fields/patterns never appear.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Offline</w:t>
            </w:r>
          </w:p>
        </w:tc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After import and content pack are present, core profile + Q&amp;A works in airplane mode.</w:t>
            </w:r>
          </w:p>
        </w:tc>
      </w:tr>
      <w:tr>
        <w:trPr>
          <w:cantSplit/>
        </w:trPr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Update</w:t>
            </w:r>
          </w:p>
        </w:tc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New signed knowledge pack can update wording locally without sending profile to server; invalid signature rejected.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Accessibility</w:t>
            </w:r>
          </w:p>
        </w:tc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Dynamic text does not clip; evidence/source metadata remains readable; all critical controls have labels.</w:t>
            </w:r>
          </w:p>
        </w:tc>
      </w:tr>
      <w:tr>
        <w:trPr>
          <w:cantSplit/>
        </w:trPr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Localization</w:t>
            </w:r>
          </w:p>
        </w:tc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No medical/legal English fallback appears in Korean release unless explicitly intended.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Scientific QA gates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Golden test fixture for every supported result code and expected interpretation ID.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Independent medical/genetics reviewer signs off each Grade A/B interpretation and limitation language.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Population applicability documented; do not imply a study applies equally across populations when evidence is limited.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Knowledge pack has immutable review metadata: author/reviewer/date/source/version.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Any change from informational wellness to disease prediction triggers regulatory change review before release.</w:t>
      </w:r>
    </w:p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/>
          <w:color w:val="FFFFFF"/>
          <w:sz w:val="17"/>
          <w:shd w:fill="197B78"/>
        </w:rPr>
        <w:t xml:space="preserve"> 15 </w:t>
      </w:r>
    </w:p>
    <w:p>
      <w:pPr>
        <w:spacing w:after="100"/>
        <w:keepNext/>
      </w:pPr>
      <w:r>
        <w:rPr>
          <w:rFonts w:ascii="Noto Sans CJK KR" w:hAnsi="Noto Sans CJK KR" w:eastAsia="Noto Sans CJK KR"/>
          <w:b/>
          <w:color w:val="142A3A"/>
          <w:sz w:val="38"/>
        </w:rPr>
        <w:t>Startup model, pricing &amp; operations</w:t>
      </w:r>
    </w:p>
    <w:p>
      <w:pPr>
        <w:spacing w:after="280"/>
      </w:pPr>
      <w:r>
        <w:rPr>
          <w:rFonts w:ascii="Noto Sans CJK KR" w:hAnsi="Noto Sans CJK KR" w:eastAsia="Noto Sans CJK KR"/>
          <w:color w:val="607080"/>
          <w:sz w:val="21"/>
        </w:rPr>
        <w:t>The app can be lightweight; the partner-lab economics and regulatory lane determine whether the ≤₩99,000 price is commercially sustainable.</w:t>
      </w:r>
    </w:p>
    <w:p>
      <w:pPr>
        <w:pStyle w:val="Heading2"/>
        <w:keepNext/>
      </w:pPr>
      <w:r>
        <w:t>Recommended commercial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1728"/>
        <w:gridCol w:w="3888"/>
        <w:gridCol w:w="3600"/>
      </w:tblGrid>
      <w:tr>
        <w:trPr>
          <w:tblHeader w:val="true"/>
          <w:cantSplit/>
        </w:trPr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Merchant/test relationship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Why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Pilot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Certified lab is clearly the testing provider/merchant; app access included via code or bundle partnership.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Lowest ambiguity around who performs the genetic test.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Scale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Single customer checkout can be explored through agency/reseller/white-label contract after legal review.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Better UX, but requires clear allocation of testing, consent, refunds and liability.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Clinical expansion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Hospital/lab partnership; possibly regulated digital medical device.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Unlocks medical features with institutional governance.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Price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2880"/>
        <w:gridCol w:w="6336"/>
      </w:tblGrid>
      <w:tr>
        <w:trPr>
          <w:cantSplit/>
        </w:trPr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Retail target</w:t>
            </w:r>
          </w:p>
        </w:tc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≤ ₩99,000 all-in for one supported test + permanent base app unlock.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Primary cost</w:t>
            </w:r>
          </w:p>
        </w:tc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Wholesale lab test + kit + shipping/fulfillment. This must be quoted before committing to price.</w:t>
            </w:r>
          </w:p>
        </w:tc>
      </w:tr>
      <w:tr>
        <w:trPr>
          <w:cantSplit/>
        </w:trPr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Software cost</w:t>
            </w:r>
          </w:p>
        </w:tc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Very low per user if core interpretation is on-device; backend handles commerce/content only.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Margin rule</w:t>
            </w:r>
          </w:p>
        </w:tc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Do not launch the price until lab + fulfillment + payment + support leaves a healthy gross margin and refund buffer.</w:t>
            </w:r>
          </w:p>
        </w:tc>
      </w:tr>
      <w:tr>
        <w:trPr>
          <w:cantSplit/>
        </w:trPr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Upsell policy</w:t>
            </w:r>
          </w:p>
        </w:tc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Future optional modules should be product-value upgrades (new regulated test or clinician service), not paywalls around the user’s existing raw result.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What makes the business defensible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Lab integrations and normalized result schema across Korean providers.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High-quality Korean explanation UX and trusted evidence review process.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Local-first privacy architecture that can be externally audited.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Versioned interpretation knowledge base and safety policy.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MFDS/compliance maturity that competitors cannot cheaply imitate with a generic chatbot.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Eventually, a portable “genetic health wallet” that can connect to hospitals and wearables without centralizing the raw genome.</w:t>
      </w:r>
    </w:p>
    <w:p>
      <w:pPr>
        <w:pStyle w:val="Heading2"/>
        <w:keepNext/>
      </w:pPr>
      <w:r>
        <w:t>Main business risks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1872"/>
        <w:gridCol w:w="3096"/>
        <w:gridCol w:w="4248"/>
      </w:tblGrid>
      <w:tr>
        <w:trPr>
          <w:tblHeader w:val="true"/>
          <w:cantSplit/>
        </w:trPr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Mitigation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Test economics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Lab wholesale price may leave too little margin below ₩100k.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Negotiate narrow high-value panel; pilot before fixed price promise.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Consumer expectation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Users may expect “all diseases” from one test.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Position around useful supported traits; explain test coverage before payment.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Regulatory reclassification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Feature/copy change can move the app into regulated medical-device territory.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Feature claim registry + legal/MFDS review gate.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Weak evidence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Genetic wellness can become pseudoscience.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A/B evidence threshold; medical reviewer; no “perfect diet” claims.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Trust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DNA privacy anxiety is high.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Local architecture, external security review, transparent data-flow screen.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Low repeat use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DNA does not change.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Ongoing value through education, knowledge updates, optional health tracking — without forcing subscription.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/>
          <w:color w:val="FFFFFF"/>
          <w:sz w:val="17"/>
          <w:shd w:fill="197B78"/>
        </w:rPr>
        <w:t xml:space="preserve"> 16 </w:t>
      </w:r>
    </w:p>
    <w:p>
      <w:pPr>
        <w:spacing w:after="100"/>
        <w:keepNext/>
      </w:pPr>
      <w:r>
        <w:rPr>
          <w:rFonts w:ascii="Noto Sans CJK KR" w:hAnsi="Noto Sans CJK KR" w:eastAsia="Noto Sans CJK KR"/>
          <w:b/>
          <w:color w:val="142A3A"/>
          <w:sz w:val="38"/>
        </w:rPr>
        <w:t>Validation plan before full build</w:t>
      </w:r>
    </w:p>
    <w:p>
      <w:pPr>
        <w:spacing w:after="280"/>
      </w:pPr>
      <w:r>
        <w:rPr>
          <w:rFonts w:ascii="Noto Sans CJK KR" w:hAnsi="Noto Sans CJK KR" w:eastAsia="Noto Sans CJK KR"/>
          <w:color w:val="607080"/>
          <w:sz w:val="21"/>
        </w:rPr>
        <w:t>Validate the customer promise and the partner economics before investing in deep genomics infrastructure.</w:t>
      </w:r>
    </w:p>
    <w:p>
      <w:pPr>
        <w:pStyle w:val="Heading2"/>
        <w:keepNext/>
      </w:pPr>
      <w:r>
        <w:t>Four hypotheses to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2232"/>
        <w:gridCol w:w="3456"/>
        <w:gridCol w:w="3528"/>
      </w:tblGrid>
      <w:tr>
        <w:trPr>
          <w:tblHeader w:val="true"/>
          <w:cantSplit/>
        </w:trPr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Hypothesis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Pass signal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People will pay ≤₩99k for test + app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Landing page / prototype with real supported categories and privacy promise.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Meaningful checkout/waitlist intent at target price.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Local privacy is a differentiator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A/B message: “AI genetic insights” vs “DNA stays on your phone.”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Privacy framing improves trust/conversion or interview preference.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Users value ongoing app after report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Prototype sessions after result review.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Users can name recurring jobs: food choices, explaining results, sharing with doctor, updates.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Lab economics work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Get written quotes and integration requirements from multiple certified labs.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At least one partner meets quality/scope/margin needs.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Pilot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2880"/>
        <w:gridCol w:w="6336"/>
      </w:tblGrid>
      <w:tr>
        <w:trPr>
          <w:cantSplit/>
        </w:trPr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Commerce</w:t>
            </w:r>
          </w:p>
        </w:tc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Visit → purchase; refund/cancellation; kit activation; sample return.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Lab flow</w:t>
            </w:r>
          </w:p>
        </w:tc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Sample → result completion; support contacts; failed/invalid result imports.</w:t>
            </w:r>
          </w:p>
        </w:tc>
      </w:tr>
      <w:tr>
        <w:trPr>
          <w:cantSplit/>
        </w:trPr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Product</w:t>
            </w:r>
          </w:p>
        </w:tc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Import completion; profile viewed; trait-detail depth; Ask usage; 30-day return.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Trust</w:t>
            </w:r>
          </w:p>
        </w:tc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Privacy-screen opens; delete/export usage; user trust survey; complaints about claims.</w:t>
            </w:r>
          </w:p>
        </w:tc>
      </w:tr>
      <w:tr>
        <w:trPr>
          <w:cantSplit/>
        </w:trPr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Safety</w:t>
            </w:r>
          </w:p>
        </w:tc>
        <w:tc>
          <w:tcPr>
            <w:tcW w:type="dxa" w:w="4997"/>
            <w:shd w:fill="F7F9FB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Unsupported medical requests; boundary-response success; reviewer-reported misleading copy.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2A3A"/>
                <w:sz w:val="19"/>
              </w:rPr>
              <w:t>Economics</w:t>
            </w:r>
          </w:p>
        </w:tc>
        <w:tc>
          <w:tcPr>
            <w:tcW w:type="dxa" w:w="4997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KR" w:hAnsi="Noto Sans CJK KR" w:eastAsia="Noto Sans CJK KR"/>
                <w:color w:val="17212B"/>
                <w:sz w:val="19"/>
              </w:rPr>
              <w:t>Gross margin per test package; support cost; paid acquisition cost if used.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/>
          <w:color w:val="FFFFFF"/>
          <w:sz w:val="17"/>
          <w:shd w:fill="197B78"/>
        </w:rPr>
        <w:t xml:space="preserve"> 17 </w:t>
      </w:r>
    </w:p>
    <w:p>
      <w:pPr>
        <w:spacing w:after="100"/>
        <w:keepNext/>
      </w:pPr>
      <w:r>
        <w:rPr>
          <w:rFonts w:ascii="Noto Sans CJK KR" w:hAnsi="Noto Sans CJK KR" w:eastAsia="Noto Sans CJK KR"/>
          <w:b/>
          <w:color w:val="142A3A"/>
          <w:sz w:val="38"/>
        </w:rPr>
        <w:t>Korea launch checklist</w:t>
      </w:r>
    </w:p>
    <w:p>
      <w:pPr>
        <w:spacing w:after="280"/>
      </w:pPr>
      <w:r>
        <w:rPr>
          <w:rFonts w:ascii="Noto Sans CJK KR" w:hAnsi="Noto Sans CJK KR" w:eastAsia="Noto Sans CJK KR"/>
          <w:color w:val="607080"/>
          <w:sz w:val="21"/>
        </w:rPr>
        <w:t>Treat the checklist as a dependency graph. Do not solve regulation after design and engineering are finished.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2232"/>
        <w:gridCol w:w="6984"/>
      </w:tblGrid>
      <w:tr>
        <w:trPr>
          <w:tblHeader w:val="true"/>
          <w:cantSplit/>
        </w:trPr>
        <w:tc>
          <w:tcPr>
            <w:tcW w:type="dxa" w:w="4997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Workstream</w:t>
            </w:r>
          </w:p>
        </w:tc>
        <w:tc>
          <w:tcPr>
            <w:tcW w:type="dxa" w:w="4997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Before public launch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Corporate / commerce</w:t>
            </w:r>
          </w:p>
        </w:tc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Korean entity/business registration; e-commerce/online-sales obligations; terms, refund/cancellation and customer-support policy.</w:t>
            </w:r>
          </w:p>
        </w:tc>
      </w:tr>
      <w:tr>
        <w:trPr>
          <w:cantSplit/>
        </w:trPr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Lab</w:t>
            </w:r>
          </w:p>
        </w:tc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Certified DTC partner selected; certification scope verified; quality/SLA; consent ownership; result schema; incident/recall responsibility.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MFDS</w:t>
            </w:r>
          </w:p>
        </w:tc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Written classification/consultation on intended use; complete required health-support-device reporting/certification or medical-device process, if applicable.</w:t>
            </w:r>
          </w:p>
        </w:tc>
      </w:tr>
      <w:tr>
        <w:trPr>
          <w:cantSplit/>
        </w:trPr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Privacy</w:t>
            </w:r>
          </w:p>
        </w:tc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Data map; PIPA sensitive-information analysis; separate consents where needed; privacy policy; CPO/owner; retention/deletion plan; processor agreements.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AI Act</w:t>
            </w:r>
          </w:p>
        </w:tc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Determine whether assistant/product is high-impact; AI disclosure; risk/explanation/human-oversight documentation as applicable.</w:t>
            </w:r>
          </w:p>
        </w:tc>
      </w:tr>
      <w:tr>
        <w:trPr>
          <w:cantSplit/>
        </w:trPr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Science</w:t>
            </w:r>
          </w:p>
        </w:tc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Medical/genetics advisor; evidence policy; source registry; content review workflow.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Security</w:t>
            </w:r>
          </w:p>
        </w:tc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Threat model; encryption; logging/analytics audit; penetration test; secure deletion validation.</w:t>
            </w:r>
          </w:p>
        </w:tc>
      </w:tr>
      <w:tr>
        <w:trPr>
          <w:cantSplit/>
        </w:trPr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App stores</w:t>
            </w:r>
          </w:p>
        </w:tc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Health/medical claims reviewed; privacy nutrition labels / data-safety forms match actual network behavior.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Customer support</w:t>
            </w:r>
          </w:p>
        </w:tc>
        <w:tc>
          <w:tcPr>
            <w:tcW w:type="dxa" w:w="499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Scripts for “am I sick?”, medication questions, result mismatch, deletion, lost phone and lab issues.</w:t>
            </w:r>
          </w:p>
        </w:tc>
      </w:tr>
      <w:tr>
        <w:trPr>
          <w:cantSplit/>
        </w:trPr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Incident response</w:t>
            </w:r>
          </w:p>
        </w:tc>
        <w:tc>
          <w:tcPr>
            <w:tcW w:type="dxa" w:w="4997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Plan for incorrect interpretation, compromised content pack, lab correction/reissued result, privacy incident and product recall/update.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/>
          <w:color w:val="FFFFFF"/>
          <w:sz w:val="17"/>
          <w:shd w:fill="197B78"/>
        </w:rPr>
        <w:t xml:space="preserve"> 18 </w:t>
      </w:r>
    </w:p>
    <w:p>
      <w:pPr>
        <w:spacing w:after="100"/>
        <w:keepNext/>
      </w:pPr>
      <w:r>
        <w:rPr>
          <w:rFonts w:ascii="Noto Sans CJK KR" w:hAnsi="Noto Sans CJK KR" w:eastAsia="Noto Sans CJK KR"/>
          <w:b/>
          <w:color w:val="142A3A"/>
          <w:sz w:val="38"/>
        </w:rPr>
        <w:t>Future improvements roadmap</w:t>
      </w:r>
    </w:p>
    <w:p>
      <w:pPr>
        <w:spacing w:after="280"/>
      </w:pPr>
      <w:r>
        <w:rPr>
          <w:rFonts w:ascii="Noto Sans CJK KR" w:hAnsi="Noto Sans CJK KR" w:eastAsia="Noto Sans CJK KR"/>
          <w:color w:val="607080"/>
          <w:sz w:val="21"/>
        </w:rPr>
        <w:t>The future version should become more medically useful only as the regulatory and clinical infrastructure matures. Improvements are staged so each layer has a clear safety and compliance dependency.</w:t>
      </w:r>
    </w:p>
    <w:p>
      <w:pPr>
        <w:pStyle w:val="Heading2"/>
        <w:keepNext/>
      </w:pPr>
      <w:r>
        <w:t>Phase A — Private genetic wellness wallet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Multiple certified DTC lab adapters with a common normalized schema.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On-device assistant with citation/evidence view.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Signed scientific knowledge updates and “what changed” changelog.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Local doctor-summary export and user-controlled redaction.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Optional secure device-to-device transfer using end-to-end encryption.</w:t>
      </w:r>
    </w:p>
    <w:p>
      <w:pPr>
        <w:pStyle w:val="Heading2"/>
        <w:keepNext/>
      </w:pPr>
      <w:r>
        <w:t>Phase B — Hospital report compatibility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Import selected Korean hospital genetic reports as documents, initially for explanation of already reported findings.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Template-specific parsers and a manual confirmation screen instead of generic AI extraction.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FHIR/HL7-compatible provenance model for future clinical exchange.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“Bring to my doctor” mode with a concise provenance-rich summary.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No assumption that every hospital will release raw FASTQ/BAM/VCF.</w:t>
      </w:r>
    </w:p>
    <w:p>
      <w:pPr>
        <w:pStyle w:val="Heading2"/>
        <w:keepNext/>
      </w:pPr>
      <w:r>
        <w:t>Phase C — Regulated health modules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Pharmacogenomics module created with a certified/clinical partner and MFDS pathway; never direct medication changes without clinician workflow.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Disease-risk modules only where scientifically validated and legally/clinically authorized.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Clinician portal that receives only user-authorized exports, not a default central genome database.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Human review/escalation for high-impact findings.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Formal performance monitoring, post-market safety process and model/knowledge change control.</w:t>
      </w:r>
    </w:p>
    <w:p>
      <w:pPr>
        <w:pStyle w:val="Heading2"/>
        <w:keepNext/>
      </w:pPr>
      <w:r>
        <w:t>Phase D — Raw genomics / WGS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VCF import with validated variant normalization and annotation pipeline.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Whole-genome/exome support only after the company has a defensible regulatory and clinical interpretation pathway.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Local or privacy-preserving bioinformatics where device capability allows; otherwise explicit secure clinical processing with consent.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No generative model should directly interpret raw variants without deterministic annotation and clinical evidence layers.</w:t>
      </w:r>
    </w:p>
    <w:p>
      <w:pPr>
        <w:pStyle w:val="Heading2"/>
        <w:keepNext/>
      </w:pPr>
      <w:r>
        <w:t>Phase E — Broader personal health model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Optional wearable, lab-test and lifestyle data so genetics becomes one stable layer of a broader health profile.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On-device longitudinal recommendations based on sleep/activity/nutrition signals, with separate medical-device assessment as scope expands.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Internationalization after per-country legal review (Japan, Singapore, EU, US are different regimes).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Optional research participation only through a separate explicit program, independent consent, governance/IRB analysis and clear withdrawal path.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Federated or privacy-preserving learning only after external privacy review; never make research reuse the default price of using the app.</w:t>
      </w:r>
    </w:p>
    <w:p>
      <w:pPr>
        <w:pStyle w:val="Heading2"/>
        <w:keepNext/>
      </w:pPr>
      <w:r>
        <w:t>Future feature gate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994"/>
            <w:shd w:fill="F3F6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color w:val="263746"/>
                <w:sz w:val="17"/>
              </w:rPr>
              <w:t>Before adding ANY new health/genetic feature, answer: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1. What exact user-facing claim does this feature make?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2. Is the result already present in the authoritative lab report, or are we creating a new inference?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3. Does it diagnose, predict treatment response, monitor treatment, or influence medication?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4. Does it process sensitive data on a company/third-party server?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5. Does it change the MFDS intended-use/classification?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6. Does it change Bioethics Act testing/interpretation obligations?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7. Does it change AI Basic Act high-impact status/duties?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8. What evidence grade and reviewer support the claim?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9. Can the feature work locally without new data collection?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7"/>
              </w:rPr>
              <w:t>10. What rollback/recall path exists if the interpretation is wrong?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/>
          <w:color w:val="FFFFFF"/>
          <w:sz w:val="17"/>
          <w:shd w:fill="197B78"/>
        </w:rPr>
        <w:t xml:space="preserve"> 19 </w:t>
      </w:r>
    </w:p>
    <w:p>
      <w:pPr>
        <w:spacing w:after="100"/>
        <w:keepNext/>
      </w:pPr>
      <w:r>
        <w:rPr>
          <w:rFonts w:ascii="Noto Sans CJK KR" w:hAnsi="Noto Sans CJK KR" w:eastAsia="Noto Sans CJK KR"/>
          <w:b/>
          <w:color w:val="142A3A"/>
          <w:sz w:val="38"/>
        </w:rPr>
        <w:t>Dev AI handoff — implementation directive</w:t>
      </w:r>
    </w:p>
    <w:p>
      <w:pPr>
        <w:spacing w:after="280"/>
      </w:pPr>
      <w:r>
        <w:rPr>
          <w:rFonts w:ascii="Noto Sans CJK KR" w:hAnsi="Noto Sans CJK KR" w:eastAsia="Noto Sans CJK KR"/>
          <w:color w:val="607080"/>
          <w:sz w:val="21"/>
        </w:rPr>
        <w:t>This section can be copied into a coding agent as the top-level build brief. It intentionally contains hard “do not” constraints.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994"/>
            <w:shd w:fill="F3F6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color w:val="263746"/>
                <w:sz w:val="16"/>
              </w:rPr>
              <w:t>PROJECT: Genome Companion Korea — MVP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GOAL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Build a Korea-first iOS/Android genetic wellness app. A certified lab performs the test. The user imports the authoritative result. The app creates an encrypted local health profile and provides evidence-bounded explanations. Genomic data must not be stored or processed by the startup backend.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NON-NEGOTIABLE ARCHITECTURE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- Core result parsing and interpretation are deterministic and local.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- Backend contains commerce/order/entitlement/public knowledge packs only.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- No /upload-dna, /profile-sync or cloud-genetic-chat endpoint.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- All local profile data encrypted at rest with platform-secured keys.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- All personalized output has source provenance + evidence grade + knowledge version.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- Scientific content comes from signed versioned knowledge packs, never improvised by code or LLM.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- Telemetry must never include genotype, variant, trait result, disease name tied to a user, report text, free-text health questions or medication data.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MVP INPUT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1. Partner signed structured result bundle.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2. Optional stable partner-PDF adapter with deterministic parser and user verification.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DO NOT implement VCF/BAM/FASTQ.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MVP SCREENS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S01 Welcome; S02 Scope/Safety; S03 Buy Test; S04 Order Status; S05 Import; S06 Verify; S07 Build; S08 Home; S09 Category; S10 Trait Detail; S11 Ask; S12 Privacy; S13 Knowledge Update; S14 Share Summary.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SAFETY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- No diagnosis.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- No novel disease-risk scoring.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- No medication start/stop/dose instructions.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- No pregnancy/fetal/minor features.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- No cloud model with genetics.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- Unsupported question =&gt; explicit inability to answer from current test.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DELIVERY ORDER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A. Design system + navigation shell.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B. Local encrypted profile repository and delete/reset flow.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C. Signed result-bundle validator/parser.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D. Deterministic interpretation engine + fixtures.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E. Signed knowledge-pack loader.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F. Profile/category/detail UI.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G. Commerce/order integration without genetics.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H. Privacy/telemetry hardening and outbound-network tests.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I. Optional on-device grounded assistant.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J. Release QA + regulatory copy freeze.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RELEASE TEST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Capture all outbound network traffic while importing, viewing every profile screen, asking assistant questions, exporting and deleting. The test fails if any personalized genetic/health field is observed.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/>
          <w:color w:val="FFFFFF"/>
          <w:sz w:val="17"/>
          <w:shd w:fill="197B78"/>
        </w:rPr>
        <w:t xml:space="preserve"> 20 </w:t>
      </w:r>
    </w:p>
    <w:p>
      <w:pPr>
        <w:spacing w:after="100"/>
        <w:keepNext/>
      </w:pPr>
      <w:r>
        <w:rPr>
          <w:rFonts w:ascii="Noto Sans CJK KR" w:hAnsi="Noto Sans CJK KR" w:eastAsia="Noto Sans CJK KR"/>
          <w:b/>
          <w:color w:val="142A3A"/>
          <w:sz w:val="38"/>
        </w:rPr>
        <w:t>Design AI handoff — design directive</w:t>
      </w:r>
    </w:p>
    <w:p>
      <w:pPr>
        <w:spacing w:after="280"/>
      </w:pPr>
      <w:r>
        <w:rPr>
          <w:rFonts w:ascii="Noto Sans CJK KR" w:hAnsi="Noto Sans CJK KR" w:eastAsia="Noto Sans CJK KR"/>
          <w:color w:val="607080"/>
          <w:sz w:val="21"/>
        </w:rPr>
        <w:t>Use this as the design-agent brief. The aim is premium consumer health, not genomics sci-fi and not a clinical EHR.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994"/>
            <w:shd w:fill="F3F6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color w:val="263746"/>
                <w:sz w:val="16"/>
              </w:rPr>
              <w:t>DESIGN A KOREA-FIRST MOBILE APP: “Genome Companion”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PERSONALITY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Calm, private, scientific, premium, approachable. The product should feel like a personal health wallet.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VISUAL DIRECTION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- Deep navy structure, muted teal accent, warm off-white surfaces.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- Avoid neon biotech aesthetics, DNA helix wallpaper, hacker motifs and hospital-blue overload.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- Never use red/green to represent “bad/good genes.”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- Korean-first typography (Pretendard/system Korean sans), comfortable reading size.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- Cards are spacious; scientific details are expandable.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MANDATORY INFORMATION ON PERSONALIZED RESULT DETAIL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1. Trait name.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2. “Your result” in plain language.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3. Evidence chip: Strong / Moderate / Limited.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4. “What it may mean.”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5. “What it does not mean.”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6. General wellness action(s), if approved.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7. Source: lab + test + date + knowledge version.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8. Optional technical details collapsed.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PRIVACY UX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- Persistent small badge: “Stored on this device.”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- Dedicated screen: “What is on your phone / our server / the lab.”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- Delete all genomic data in one clear flow.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- Export/share always requires an explicit confirmation.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SAFETY UX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- Medication, diagnosis, pregnancy/minor and unsupported flows use a calm boundary card, not a scary error.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- Do not show percentage disease risk unless that exact regulated feature is enabled and supplied by the authoritative module.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- Never show “health score,” “genetic age,” “longevity score,” or “perfect diet score” in MVP.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KEY SCREENS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Welcome → Scope/Safety → Buy Test → Order Status → Import → Verify Result → Build Profile → Home → Category → Trait Detail → Ask → Privacy → Knowledge Update → Share Summary.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HOME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Header: “Your genetic profile” + privacy badge.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Hero: 3 high-confidence insights, not a long feed.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Sections: Nutrition / Metabolism / Lifestyle / Fitness &amp; Recovery / Supported Health.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CTA: “Ask about my results.”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Secondary: “What changed in the latest knowledge update?”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COPY TONE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Use “associated with,” “may,” “tendency,” “evidence,” “your report shows.”</w:t>
            </w:r>
            <w:r>
              <w:br/>
            </w:r>
            <w:r>
              <w:rPr>
                <w:rFonts w:ascii="NanumGothicCoding" w:hAnsi="NanumGothicCoding" w:eastAsia="NanumGothicCoding"/>
                <w:color w:val="263746"/>
                <w:sz w:val="16"/>
              </w:rPr>
              <w:t>Avoid “you will,” “bad gene,” “perfect,” “diagnosis,” “cure,” “prevent,” or medication instructions.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/>
          <w:color w:val="FFFFFF"/>
          <w:sz w:val="17"/>
          <w:shd w:fill="197B78"/>
        </w:rPr>
        <w:t xml:space="preserve"> 21 </w:t>
      </w:r>
    </w:p>
    <w:p>
      <w:pPr>
        <w:spacing w:after="100"/>
        <w:keepNext/>
      </w:pPr>
      <w:r>
        <w:rPr>
          <w:rFonts w:ascii="Noto Sans CJK KR" w:hAnsi="Noto Sans CJK KR" w:eastAsia="Noto Sans CJK KR"/>
          <w:b/>
          <w:color w:val="142A3A"/>
          <w:sz w:val="38"/>
        </w:rPr>
        <w:t>Risk register &amp; decision log</w:t>
      </w:r>
    </w:p>
    <w:p>
      <w:pPr>
        <w:spacing w:after="280"/>
      </w:pPr>
      <w:r>
        <w:rPr>
          <w:rFonts w:ascii="Noto Sans CJK KR" w:hAnsi="Noto Sans CJK KR" w:eastAsia="Noto Sans CJK KR"/>
          <w:color w:val="607080"/>
          <w:sz w:val="21"/>
        </w:rPr>
        <w:t>Use this as the product governance table during development. Every high-risk feature requires an owner and a release decision.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3240"/>
        <w:gridCol w:w="1224"/>
        <w:gridCol w:w="1224"/>
        <w:gridCol w:w="3528"/>
      </w:tblGrid>
      <w:tr>
        <w:trPr>
          <w:tblHeader w:val="true"/>
          <w:cantSplit/>
        </w:trPr>
        <w:tc>
          <w:tcPr>
            <w:tcW w:type="dxa" w:w="2498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498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2498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498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Owner / control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App classified as health-support/digital medical product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Medium–High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High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Founder + regulatory counsel; MFDS consultation before scope freeze.</w:t>
            </w:r>
          </w:p>
        </w:tc>
      </w:tr>
      <w:tr>
        <w:trPr>
          <w:cantSplit/>
        </w:trPr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Feature crosses into diagnosis/medical act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Medium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Very high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Product claim registry; medical/legal review; hard assistant boundary.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Genetic data leaks through telemetry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Medium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Very high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Privacy engineer; network-capture test; schema deny-list.</w:t>
            </w:r>
          </w:p>
        </w:tc>
      </w:tr>
      <w:tr>
        <w:trPr>
          <w:cantSplit/>
        </w:trPr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Lab result misparsed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Medium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High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Structured signed bundle; deterministic parsers; verification screen.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Scientific claim overstated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Medium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High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Evidence grading + medical reviewer + source/version requirements.</w:t>
            </w:r>
          </w:p>
        </w:tc>
      </w:tr>
      <w:tr>
        <w:trPr>
          <w:cantSplit/>
        </w:trPr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User assumes genetics is destiny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High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Medium–High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UX limitation language on every result; educational onboarding.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Under-₩100k economics fail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Medium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High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Lab quote before launch; narrow panel; pilot pricing.</w:t>
            </w:r>
          </w:p>
        </w:tc>
      </w:tr>
      <w:tr>
        <w:trPr>
          <w:cantSplit/>
        </w:trPr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Low repeat engagement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High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Medium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Knowledge updates, explanations, share flows; do not rely on subscription.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AI hallucination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Medium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High</w:t>
            </w:r>
          </w:p>
        </w:tc>
        <w:tc>
          <w:tcPr>
            <w:tcW w:type="dxa" w:w="249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Local grounded generation; deterministic truth layer; safety gate.</w:t>
            </w:r>
          </w:p>
        </w:tc>
      </w:tr>
      <w:tr>
        <w:trPr>
          <w:cantSplit/>
        </w:trPr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Hospital raw data unavailable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High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Medium</w:t>
            </w:r>
          </w:p>
        </w:tc>
        <w:tc>
          <w:tcPr>
            <w:tcW w:type="dxa" w:w="2498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5"/>
              </w:rPr>
              <w:t>Do not depend on it; support reports/partner result first.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/>
          <w:color w:val="FFFFFF"/>
          <w:sz w:val="17"/>
          <w:shd w:fill="197B78"/>
        </w:rPr>
        <w:t xml:space="preserve"> APPENDIX A </w:t>
      </w:r>
    </w:p>
    <w:p>
      <w:pPr>
        <w:spacing w:after="100"/>
        <w:keepNext/>
      </w:pPr>
      <w:r>
        <w:rPr>
          <w:rFonts w:ascii="Noto Sans CJK KR" w:hAnsi="Noto Sans CJK KR" w:eastAsia="Noto Sans CJK KR"/>
          <w:b/>
          <w:color w:val="142A3A"/>
          <w:sz w:val="38"/>
        </w:rPr>
        <w:t>Official Korean legal sources</w:t>
      </w:r>
    </w:p>
    <w:p>
      <w:pPr>
        <w:spacing w:after="280"/>
      </w:pPr>
      <w:r>
        <w:rPr>
          <w:rFonts w:ascii="Noto Sans CJK KR" w:hAnsi="Noto Sans CJK KR" w:eastAsia="Noto Sans CJK KR"/>
          <w:color w:val="607080"/>
          <w:sz w:val="21"/>
        </w:rPr>
        <w:t>Official government sources used for the regulatory framing in this document. Checked for the 2026 operating environment; laws and guidance can change, so re-check before launch.</w:t>
      </w:r>
    </w:p>
    <w:p>
      <w:pPr>
        <w:spacing w:after="100"/>
      </w:pPr>
      <w:r>
        <w:rPr>
          <w:rFonts w:ascii="Noto Sans CJK KR" w:hAnsi="Noto Sans CJK KR" w:eastAsia="Noto Sans CJK KR"/>
          <w:b/>
          <w:color w:val="197B78"/>
          <w:sz w:val="18"/>
        </w:rPr>
        <w:t xml:space="preserve">L1  </w:t>
      </w:r>
      <w:r>
        <w:rPr>
          <w:rFonts w:ascii="Noto Sans CJK KR" w:hAnsi="Noto Sans CJK KR" w:eastAsia="Noto Sans CJK KR"/>
          <w:color w:val="17212B"/>
          <w:sz w:val="18"/>
        </w:rPr>
        <w:t xml:space="preserve">Bioethics and Safety Act, Art. 49-2 — genetic testing institution evaluation/certification — </w:t>
      </w:r>
      <w:hyperlink r:id="rId13">
        <w:r>
          <w:rPr>
            <w:color w:val="2B6F8F"/>
            <w:u w:val="single"/>
            <w:rFonts w:ascii="Noto Sans CJK KR" w:hAnsi="Noto Sans CJK KR" w:eastAsia="Noto Sans CJK KR"/>
          </w:rPr>
          <w:t>official source</w:t>
        </w:r>
      </w:hyperlink>
    </w:p>
    <w:p>
      <w:pPr>
        <w:spacing w:after="100"/>
      </w:pPr>
      <w:r>
        <w:rPr>
          <w:rFonts w:ascii="Noto Sans CJK KR" w:hAnsi="Noto Sans CJK KR" w:eastAsia="Noto Sans CJK KR"/>
          <w:b/>
          <w:color w:val="197B78"/>
          <w:sz w:val="18"/>
        </w:rPr>
        <w:t xml:space="preserve">L2  </w:t>
      </w:r>
      <w:r>
        <w:rPr>
          <w:rFonts w:ascii="Noto Sans CJK KR" w:hAnsi="Noto Sans CJK KR" w:eastAsia="Noto Sans CJK KR"/>
          <w:color w:val="17212B"/>
          <w:sz w:val="18"/>
        </w:rPr>
        <w:t xml:space="preserve">Bioethics and Safety Act, Art. 50 — restrictions on genetic testing / misleading advertising — </w:t>
      </w:r>
      <w:hyperlink r:id="rId14">
        <w:r>
          <w:rPr>
            <w:color w:val="2B6F8F"/>
            <w:u w:val="single"/>
            <w:rFonts w:ascii="Noto Sans CJK KR" w:hAnsi="Noto Sans CJK KR" w:eastAsia="Noto Sans CJK KR"/>
          </w:rPr>
          <w:t>official source</w:t>
        </w:r>
      </w:hyperlink>
    </w:p>
    <w:p>
      <w:pPr>
        <w:spacing w:after="100"/>
      </w:pPr>
      <w:r>
        <w:rPr>
          <w:rFonts w:ascii="Noto Sans CJK KR" w:hAnsi="Noto Sans CJK KR" w:eastAsia="Noto Sans CJK KR"/>
          <w:b/>
          <w:color w:val="197B78"/>
          <w:sz w:val="18"/>
        </w:rPr>
        <w:t xml:space="preserve">L3  </w:t>
      </w:r>
      <w:r>
        <w:rPr>
          <w:rFonts w:ascii="Noto Sans CJK KR" w:hAnsi="Noto Sans CJK KR" w:eastAsia="Noto Sans CJK KR"/>
          <w:color w:val="17212B"/>
          <w:sz w:val="18"/>
        </w:rPr>
        <w:t xml:space="preserve">Bioethics and Safety Act, Art. 51 — consent for genetic testing/specimen handling — </w:t>
      </w:r>
      <w:hyperlink r:id="rId15">
        <w:r>
          <w:rPr>
            <w:color w:val="2B6F8F"/>
            <w:u w:val="single"/>
            <w:rFonts w:ascii="Noto Sans CJK KR" w:hAnsi="Noto Sans CJK KR" w:eastAsia="Noto Sans CJK KR"/>
          </w:rPr>
          <w:t>official source</w:t>
        </w:r>
      </w:hyperlink>
    </w:p>
    <w:p>
      <w:pPr>
        <w:spacing w:after="100"/>
      </w:pPr>
      <w:r>
        <w:rPr>
          <w:rFonts w:ascii="Noto Sans CJK KR" w:hAnsi="Noto Sans CJK KR" w:eastAsia="Noto Sans CJK KR"/>
          <w:b/>
          <w:color w:val="197B78"/>
          <w:sz w:val="18"/>
        </w:rPr>
        <w:t xml:space="preserve">L4  </w:t>
      </w:r>
      <w:r>
        <w:rPr>
          <w:rFonts w:ascii="Noto Sans CJK KR" w:hAnsi="Noto Sans CJK KR" w:eastAsia="Noto Sans CJK KR"/>
          <w:color w:val="17212B"/>
          <w:sz w:val="18"/>
        </w:rPr>
        <w:t xml:space="preserve">Personal Information Protection Act, Art. 23 — sensitive information — </w:t>
      </w:r>
      <w:hyperlink r:id="rId16">
        <w:r>
          <w:rPr>
            <w:color w:val="2B6F8F"/>
            <w:u w:val="single"/>
            <w:rFonts w:ascii="Noto Sans CJK KR" w:hAnsi="Noto Sans CJK KR" w:eastAsia="Noto Sans CJK KR"/>
          </w:rPr>
          <w:t>official source</w:t>
        </w:r>
      </w:hyperlink>
    </w:p>
    <w:p>
      <w:pPr>
        <w:spacing w:after="100"/>
      </w:pPr>
      <w:r>
        <w:rPr>
          <w:rFonts w:ascii="Noto Sans CJK KR" w:hAnsi="Noto Sans CJK KR" w:eastAsia="Noto Sans CJK KR"/>
          <w:b/>
          <w:color w:val="197B78"/>
          <w:sz w:val="18"/>
        </w:rPr>
        <w:t xml:space="preserve">L5  </w:t>
      </w:r>
      <w:r>
        <w:rPr>
          <w:rFonts w:ascii="Noto Sans CJK KR" w:hAnsi="Noto Sans CJK KR" w:eastAsia="Noto Sans CJK KR"/>
          <w:color w:val="17212B"/>
          <w:sz w:val="18"/>
        </w:rPr>
        <w:t xml:space="preserve">PIPA Enforcement Decree, Art. 18 — genetic test results are genetic/sensitive information — </w:t>
      </w:r>
      <w:hyperlink r:id="rId17">
        <w:r>
          <w:rPr>
            <w:color w:val="2B6F8F"/>
            <w:u w:val="single"/>
            <w:rFonts w:ascii="Noto Sans CJK KR" w:hAnsi="Noto Sans CJK KR" w:eastAsia="Noto Sans CJK KR"/>
          </w:rPr>
          <w:t>official source</w:t>
        </w:r>
      </w:hyperlink>
    </w:p>
    <w:p>
      <w:pPr>
        <w:spacing w:after="100"/>
      </w:pPr>
      <w:r>
        <w:rPr>
          <w:rFonts w:ascii="Noto Sans CJK KR" w:hAnsi="Noto Sans CJK KR" w:eastAsia="Noto Sans CJK KR"/>
          <w:b/>
          <w:color w:val="197B78"/>
          <w:sz w:val="18"/>
        </w:rPr>
        <w:t xml:space="preserve">L6  </w:t>
      </w:r>
      <w:r>
        <w:rPr>
          <w:rFonts w:ascii="Noto Sans CJK KR" w:hAnsi="Noto Sans CJK KR" w:eastAsia="Noto Sans CJK KR"/>
          <w:color w:val="17212B"/>
          <w:sz w:val="18"/>
        </w:rPr>
        <w:t xml:space="preserve">PIPA, Art. 16 — data minimization — </w:t>
      </w:r>
      <w:hyperlink r:id="rId18">
        <w:r>
          <w:rPr>
            <w:color w:val="2B6F8F"/>
            <w:u w:val="single"/>
            <w:rFonts w:ascii="Noto Sans CJK KR" w:hAnsi="Noto Sans CJK KR" w:eastAsia="Noto Sans CJK KR"/>
          </w:rPr>
          <w:t>official source</w:t>
        </w:r>
      </w:hyperlink>
    </w:p>
    <w:p>
      <w:pPr>
        <w:spacing w:after="100"/>
      </w:pPr>
      <w:r>
        <w:rPr>
          <w:rFonts w:ascii="Noto Sans CJK KR" w:hAnsi="Noto Sans CJK KR" w:eastAsia="Noto Sans CJK KR"/>
          <w:b/>
          <w:color w:val="197B78"/>
          <w:sz w:val="18"/>
        </w:rPr>
        <w:t xml:space="preserve">L7  </w:t>
      </w:r>
      <w:r>
        <w:rPr>
          <w:rFonts w:ascii="Noto Sans CJK KR" w:hAnsi="Noto Sans CJK KR" w:eastAsia="Noto Sans CJK KR"/>
          <w:color w:val="17212B"/>
          <w:sz w:val="18"/>
        </w:rPr>
        <w:t xml:space="preserve">PIPA, Art. 21 — destruction of personal information — </w:t>
      </w:r>
      <w:hyperlink r:id="rId19">
        <w:r>
          <w:rPr>
            <w:color w:val="2B6F8F"/>
            <w:u w:val="single"/>
            <w:rFonts w:ascii="Noto Sans CJK KR" w:hAnsi="Noto Sans CJK KR" w:eastAsia="Noto Sans CJK KR"/>
          </w:rPr>
          <w:t>official source</w:t>
        </w:r>
      </w:hyperlink>
    </w:p>
    <w:p>
      <w:pPr>
        <w:spacing w:after="100"/>
      </w:pPr>
      <w:r>
        <w:rPr>
          <w:rFonts w:ascii="Noto Sans CJK KR" w:hAnsi="Noto Sans CJK KR" w:eastAsia="Noto Sans CJK KR"/>
          <w:b/>
          <w:color w:val="197B78"/>
          <w:sz w:val="18"/>
        </w:rPr>
        <w:t xml:space="preserve">L8  </w:t>
      </w:r>
      <w:r>
        <w:rPr>
          <w:rFonts w:ascii="Noto Sans CJK KR" w:hAnsi="Noto Sans CJK KR" w:eastAsia="Noto Sans CJK KR"/>
          <w:color w:val="17212B"/>
          <w:sz w:val="18"/>
        </w:rPr>
        <w:t xml:space="preserve">PIPA, Art. 29 — security safeguards — </w:t>
      </w:r>
      <w:hyperlink r:id="rId20">
        <w:r>
          <w:rPr>
            <w:color w:val="2B6F8F"/>
            <w:u w:val="single"/>
            <w:rFonts w:ascii="Noto Sans CJK KR" w:hAnsi="Noto Sans CJK KR" w:eastAsia="Noto Sans CJK KR"/>
          </w:rPr>
          <w:t>official source</w:t>
        </w:r>
      </w:hyperlink>
    </w:p>
    <w:p>
      <w:pPr>
        <w:spacing w:after="100"/>
      </w:pPr>
      <w:r>
        <w:rPr>
          <w:rFonts w:ascii="Noto Sans CJK KR" w:hAnsi="Noto Sans CJK KR" w:eastAsia="Noto Sans CJK KR"/>
          <w:b/>
          <w:color w:val="197B78"/>
          <w:sz w:val="18"/>
        </w:rPr>
        <w:t xml:space="preserve">L9  </w:t>
      </w:r>
      <w:r>
        <w:rPr>
          <w:rFonts w:ascii="Noto Sans CJK KR" w:hAnsi="Noto Sans CJK KR" w:eastAsia="Noto Sans CJK KR"/>
          <w:color w:val="17212B"/>
          <w:sz w:val="18"/>
        </w:rPr>
        <w:t xml:space="preserve">PIPA, Art. 30 — privacy policy — </w:t>
      </w:r>
      <w:hyperlink r:id="rId21">
        <w:r>
          <w:rPr>
            <w:color w:val="2B6F8F"/>
            <w:u w:val="single"/>
            <w:rFonts w:ascii="Noto Sans CJK KR" w:hAnsi="Noto Sans CJK KR" w:eastAsia="Noto Sans CJK KR"/>
          </w:rPr>
          <w:t>official source</w:t>
        </w:r>
      </w:hyperlink>
    </w:p>
    <w:p>
      <w:pPr>
        <w:spacing w:after="100"/>
      </w:pPr>
      <w:r>
        <w:rPr>
          <w:rFonts w:ascii="Noto Sans CJK KR" w:hAnsi="Noto Sans CJK KR" w:eastAsia="Noto Sans CJK KR"/>
          <w:b/>
          <w:color w:val="197B78"/>
          <w:sz w:val="18"/>
        </w:rPr>
        <w:t xml:space="preserve">L10  </w:t>
      </w:r>
      <w:r>
        <w:rPr>
          <w:rFonts w:ascii="Noto Sans CJK KR" w:hAnsi="Noto Sans CJK KR" w:eastAsia="Noto Sans CJK KR"/>
          <w:color w:val="17212B"/>
          <w:sz w:val="18"/>
        </w:rPr>
        <w:t xml:space="preserve">PIPA, Art. 28-8 — overseas transfer of personal information — </w:t>
      </w:r>
      <w:hyperlink r:id="rId22">
        <w:r>
          <w:rPr>
            <w:color w:val="2B6F8F"/>
            <w:u w:val="single"/>
            <w:rFonts w:ascii="Noto Sans CJK KR" w:hAnsi="Noto Sans CJK KR" w:eastAsia="Noto Sans CJK KR"/>
          </w:rPr>
          <w:t>official source</w:t>
        </w:r>
      </w:hyperlink>
    </w:p>
    <w:p>
      <w:pPr>
        <w:spacing w:after="100"/>
      </w:pPr>
      <w:r>
        <w:rPr>
          <w:rFonts w:ascii="Noto Sans CJK KR" w:hAnsi="Noto Sans CJK KR" w:eastAsia="Noto Sans CJK KR"/>
          <w:b/>
          <w:color w:val="197B78"/>
          <w:sz w:val="18"/>
        </w:rPr>
        <w:t xml:space="preserve">L11  </w:t>
      </w:r>
      <w:r>
        <w:rPr>
          <w:rFonts w:ascii="Noto Sans CJK KR" w:hAnsi="Noto Sans CJK KR" w:eastAsia="Noto Sans CJK KR"/>
          <w:color w:val="17212B"/>
          <w:sz w:val="18"/>
        </w:rPr>
        <w:t xml:space="preserve">Medical Service Act, Art. 21 — patient access/copies of records — </w:t>
      </w:r>
      <w:hyperlink r:id="rId23">
        <w:r>
          <w:rPr>
            <w:color w:val="2B6F8F"/>
            <w:u w:val="single"/>
            <w:rFonts w:ascii="Noto Sans CJK KR" w:hAnsi="Noto Sans CJK KR" w:eastAsia="Noto Sans CJK KR"/>
          </w:rPr>
          <w:t>official source</w:t>
        </w:r>
      </w:hyperlink>
    </w:p>
    <w:p>
      <w:pPr>
        <w:spacing w:after="100"/>
      </w:pPr>
      <w:r>
        <w:rPr>
          <w:rFonts w:ascii="Noto Sans CJK KR" w:hAnsi="Noto Sans CJK KR" w:eastAsia="Noto Sans CJK KR"/>
          <w:b/>
          <w:color w:val="197B78"/>
          <w:sz w:val="18"/>
        </w:rPr>
        <w:t xml:space="preserve">L12  </w:t>
      </w:r>
      <w:r>
        <w:rPr>
          <w:rFonts w:ascii="Noto Sans CJK KR" w:hAnsi="Noto Sans CJK KR" w:eastAsia="Noto Sans CJK KR"/>
          <w:color w:val="17212B"/>
          <w:sz w:val="18"/>
        </w:rPr>
        <w:t xml:space="preserve">Medical Service Act, Art. 27 — prohibition of unlicensed medical acts — </w:t>
      </w:r>
      <w:hyperlink r:id="rId24">
        <w:r>
          <w:rPr>
            <w:color w:val="2B6F8F"/>
            <w:u w:val="single"/>
            <w:rFonts w:ascii="Noto Sans CJK KR" w:hAnsi="Noto Sans CJK KR" w:eastAsia="Noto Sans CJK KR"/>
          </w:rPr>
          <w:t>official source</w:t>
        </w:r>
      </w:hyperlink>
    </w:p>
    <w:p>
      <w:pPr>
        <w:spacing w:after="100"/>
      </w:pPr>
      <w:r>
        <w:rPr>
          <w:rFonts w:ascii="Noto Sans CJK KR" w:hAnsi="Noto Sans CJK KR" w:eastAsia="Noto Sans CJK KR"/>
          <w:b/>
          <w:color w:val="197B78"/>
          <w:sz w:val="18"/>
        </w:rPr>
        <w:t xml:space="preserve">L13  </w:t>
      </w:r>
      <w:r>
        <w:rPr>
          <w:rFonts w:ascii="Noto Sans CJK KR" w:hAnsi="Noto Sans CJK KR" w:eastAsia="Noto Sans CJK KR"/>
          <w:color w:val="17212B"/>
          <w:sz w:val="18"/>
        </w:rPr>
        <w:t xml:space="preserve">Digital Medical Products Act — definitions / digital medical devices — </w:t>
      </w:r>
      <w:hyperlink r:id="rId25">
        <w:r>
          <w:rPr>
            <w:color w:val="2B6F8F"/>
            <w:u w:val="single"/>
            <w:rFonts w:ascii="Noto Sans CJK KR" w:hAnsi="Noto Sans CJK KR" w:eastAsia="Noto Sans CJK KR"/>
          </w:rPr>
          <w:t>official source</w:t>
        </w:r>
      </w:hyperlink>
    </w:p>
    <w:p>
      <w:pPr>
        <w:spacing w:after="100"/>
      </w:pPr>
      <w:r>
        <w:rPr>
          <w:rFonts w:ascii="Noto Sans CJK KR" w:hAnsi="Noto Sans CJK KR" w:eastAsia="Noto Sans CJK KR"/>
          <w:b/>
          <w:color w:val="197B78"/>
          <w:sz w:val="18"/>
        </w:rPr>
        <w:t xml:space="preserve">L14  </w:t>
      </w:r>
      <w:r>
        <w:rPr>
          <w:rFonts w:ascii="Noto Sans CJK KR" w:hAnsi="Noto Sans CJK KR" w:eastAsia="Noto Sans CJK KR"/>
          <w:color w:val="17212B"/>
          <w:sz w:val="18"/>
        </w:rPr>
        <w:t xml:space="preserve">MFDS e-Medical Device: overview of digital medical products / health-support devices — </w:t>
      </w:r>
      <w:hyperlink r:id="rId26">
        <w:r>
          <w:rPr>
            <w:color w:val="2B6F8F"/>
            <w:u w:val="single"/>
            <w:rFonts w:ascii="Noto Sans CJK KR" w:hAnsi="Noto Sans CJK KR" w:eastAsia="Noto Sans CJK KR"/>
          </w:rPr>
          <w:t>official source</w:t>
        </w:r>
      </w:hyperlink>
    </w:p>
    <w:p>
      <w:pPr>
        <w:spacing w:after="100"/>
      </w:pPr>
      <w:r>
        <w:rPr>
          <w:rFonts w:ascii="Noto Sans CJK KR" w:hAnsi="Noto Sans CJK KR" w:eastAsia="Noto Sans CJK KR"/>
          <w:b/>
          <w:color w:val="197B78"/>
          <w:sz w:val="18"/>
        </w:rPr>
        <w:t xml:space="preserve">L15  </w:t>
      </w:r>
      <w:r>
        <w:rPr>
          <w:rFonts w:ascii="Noto Sans CJK KR" w:hAnsi="Noto Sans CJK KR" w:eastAsia="Noto Sans CJK KR"/>
          <w:color w:val="17212B"/>
          <w:sz w:val="18"/>
        </w:rPr>
        <w:t xml:space="preserve">MFDS: Digital medical device classification and grade guidance (2026 posting) — </w:t>
      </w:r>
      <w:hyperlink r:id="rId27">
        <w:r>
          <w:rPr>
            <w:color w:val="2B6F8F"/>
            <w:u w:val="single"/>
            <w:rFonts w:ascii="Noto Sans CJK KR" w:hAnsi="Noto Sans CJK KR" w:eastAsia="Noto Sans CJK KR"/>
          </w:rPr>
          <w:t>official source</w:t>
        </w:r>
      </w:hyperlink>
    </w:p>
    <w:p>
      <w:pPr>
        <w:spacing w:after="100"/>
      </w:pPr>
      <w:r>
        <w:rPr>
          <w:rFonts w:ascii="Noto Sans CJK KR" w:hAnsi="Noto Sans CJK KR" w:eastAsia="Noto Sans CJK KR"/>
          <w:b/>
          <w:color w:val="197B78"/>
          <w:sz w:val="18"/>
        </w:rPr>
        <w:t xml:space="preserve">L16  </w:t>
      </w:r>
      <w:r>
        <w:rPr>
          <w:rFonts w:ascii="Noto Sans CJK KR" w:hAnsi="Noto Sans CJK KR" w:eastAsia="Noto Sans CJK KR"/>
          <w:color w:val="17212B"/>
          <w:sz w:val="18"/>
        </w:rPr>
        <w:t xml:space="preserve">Digital Medical Products Act Enforcement Rule — 2026 health-support device reporting/performance framework — </w:t>
      </w:r>
      <w:hyperlink r:id="rId28">
        <w:r>
          <w:rPr>
            <w:color w:val="2B6F8F"/>
            <w:u w:val="single"/>
            <w:rFonts w:ascii="Noto Sans CJK KR" w:hAnsi="Noto Sans CJK KR" w:eastAsia="Noto Sans CJK KR"/>
          </w:rPr>
          <w:t>official source</w:t>
        </w:r>
      </w:hyperlink>
    </w:p>
    <w:p>
      <w:pPr>
        <w:spacing w:after="100"/>
      </w:pPr>
      <w:r>
        <w:rPr>
          <w:rFonts w:ascii="Noto Sans CJK KR" w:hAnsi="Noto Sans CJK KR" w:eastAsia="Noto Sans CJK KR"/>
          <w:b/>
          <w:color w:val="197B78"/>
          <w:sz w:val="18"/>
        </w:rPr>
        <w:t xml:space="preserve">L17  </w:t>
      </w:r>
      <w:r>
        <w:rPr>
          <w:rFonts w:ascii="Noto Sans CJK KR" w:hAnsi="Noto Sans CJK KR" w:eastAsia="Noto Sans CJK KR"/>
          <w:color w:val="17212B"/>
          <w:sz w:val="18"/>
        </w:rPr>
        <w:t xml:space="preserve">MFDS Notice: Digital Medical Product Classification / Grade Designation Rules — </w:t>
      </w:r>
      <w:hyperlink r:id="rId29">
        <w:r>
          <w:rPr>
            <w:color w:val="2B6F8F"/>
            <w:u w:val="single"/>
            <w:rFonts w:ascii="Noto Sans CJK KR" w:hAnsi="Noto Sans CJK KR" w:eastAsia="Noto Sans CJK KR"/>
          </w:rPr>
          <w:t>official source</w:t>
        </w:r>
      </w:hyperlink>
    </w:p>
    <w:p>
      <w:pPr>
        <w:spacing w:after="100"/>
      </w:pPr>
      <w:r>
        <w:rPr>
          <w:rFonts w:ascii="Noto Sans CJK KR" w:hAnsi="Noto Sans CJK KR" w:eastAsia="Noto Sans CJK KR"/>
          <w:b/>
          <w:color w:val="197B78"/>
          <w:sz w:val="18"/>
        </w:rPr>
        <w:t xml:space="preserve">L18  </w:t>
      </w:r>
      <w:r>
        <w:rPr>
          <w:rFonts w:ascii="Noto Sans CJK KR" w:hAnsi="Noto Sans CJK KR" w:eastAsia="Noto Sans CJK KR"/>
          <w:color w:val="17212B"/>
          <w:sz w:val="18"/>
        </w:rPr>
        <w:t xml:space="preserve">AI Basic Act, Art. 2 — high-impact AI includes healthcare/medical-device domains — </w:t>
      </w:r>
      <w:hyperlink r:id="rId30">
        <w:r>
          <w:rPr>
            <w:color w:val="2B6F8F"/>
            <w:u w:val="single"/>
            <w:rFonts w:ascii="Noto Sans CJK KR" w:hAnsi="Noto Sans CJK KR" w:eastAsia="Noto Sans CJK KR"/>
          </w:rPr>
          <w:t>official source</w:t>
        </w:r>
      </w:hyperlink>
    </w:p>
    <w:p>
      <w:pPr>
        <w:spacing w:after="100"/>
      </w:pPr>
      <w:r>
        <w:rPr>
          <w:rFonts w:ascii="Noto Sans CJK KR" w:hAnsi="Noto Sans CJK KR" w:eastAsia="Noto Sans CJK KR"/>
          <w:b/>
          <w:color w:val="197B78"/>
          <w:sz w:val="18"/>
        </w:rPr>
        <w:t xml:space="preserve">L19  </w:t>
      </w:r>
      <w:r>
        <w:rPr>
          <w:rFonts w:ascii="Noto Sans CJK KR" w:hAnsi="Noto Sans CJK KR" w:eastAsia="Noto Sans CJK KR"/>
          <w:color w:val="17212B"/>
          <w:sz w:val="18"/>
        </w:rPr>
        <w:t xml:space="preserve">AI Basic Act, Art. 31 — AI transparency duties — </w:t>
      </w:r>
      <w:hyperlink r:id="rId31">
        <w:r>
          <w:rPr>
            <w:color w:val="2B6F8F"/>
            <w:u w:val="single"/>
            <w:rFonts w:ascii="Noto Sans CJK KR" w:hAnsi="Noto Sans CJK KR" w:eastAsia="Noto Sans CJK KR"/>
          </w:rPr>
          <w:t>official source</w:t>
        </w:r>
      </w:hyperlink>
    </w:p>
    <w:p>
      <w:pPr>
        <w:spacing w:after="100"/>
      </w:pPr>
      <w:r>
        <w:rPr>
          <w:rFonts w:ascii="Noto Sans CJK KR" w:hAnsi="Noto Sans CJK KR" w:eastAsia="Noto Sans CJK KR"/>
          <w:b/>
          <w:color w:val="197B78"/>
          <w:sz w:val="18"/>
        </w:rPr>
        <w:t xml:space="preserve">L20  </w:t>
      </w:r>
      <w:r>
        <w:rPr>
          <w:rFonts w:ascii="Noto Sans CJK KR" w:hAnsi="Noto Sans CJK KR" w:eastAsia="Noto Sans CJK KR"/>
          <w:color w:val="17212B"/>
          <w:sz w:val="18"/>
        </w:rPr>
        <w:t xml:space="preserve">AI Basic Act, Art. 33 — confirmation of high-impact AI status — </w:t>
      </w:r>
      <w:hyperlink r:id="rId32">
        <w:r>
          <w:rPr>
            <w:color w:val="2B6F8F"/>
            <w:u w:val="single"/>
            <w:rFonts w:ascii="Noto Sans CJK KR" w:hAnsi="Noto Sans CJK KR" w:eastAsia="Noto Sans CJK KR"/>
          </w:rPr>
          <w:t>official source</w:t>
        </w:r>
      </w:hyperlink>
    </w:p>
    <w:p>
      <w:pPr>
        <w:spacing w:after="100"/>
      </w:pPr>
      <w:r>
        <w:rPr>
          <w:rFonts w:ascii="Noto Sans CJK KR" w:hAnsi="Noto Sans CJK KR" w:eastAsia="Noto Sans CJK KR"/>
          <w:b/>
          <w:color w:val="197B78"/>
          <w:sz w:val="18"/>
        </w:rPr>
        <w:t xml:space="preserve">L21  </w:t>
      </w:r>
      <w:r>
        <w:rPr>
          <w:rFonts w:ascii="Noto Sans CJK KR" w:hAnsi="Noto Sans CJK KR" w:eastAsia="Noto Sans CJK KR"/>
          <w:color w:val="17212B"/>
          <w:sz w:val="18"/>
        </w:rPr>
        <w:t xml:space="preserve">AI Basic Act, Art. 34 — duties for high-impact AI providers — </w:t>
      </w:r>
      <w:hyperlink r:id="rId33">
        <w:r>
          <w:rPr>
            <w:color w:val="2B6F8F"/>
            <w:u w:val="single"/>
            <w:rFonts w:ascii="Noto Sans CJK KR" w:hAnsi="Noto Sans CJK KR" w:eastAsia="Noto Sans CJK KR"/>
          </w:rPr>
          <w:t>official source</w:t>
        </w:r>
      </w:hyperlink>
    </w:p>
    <w:p>
      <w:pPr>
        <w:spacing w:after="100"/>
      </w:pPr>
      <w:r>
        <w:rPr>
          <w:rFonts w:ascii="Noto Sans CJK KR" w:hAnsi="Noto Sans CJK KR" w:eastAsia="Noto Sans CJK KR"/>
          <w:b/>
          <w:color w:val="197B78"/>
          <w:sz w:val="18"/>
        </w:rPr>
        <w:t xml:space="preserve">L22  </w:t>
      </w:r>
      <w:r>
        <w:rPr>
          <w:rFonts w:ascii="Noto Sans CJK KR" w:hAnsi="Noto Sans CJK KR" w:eastAsia="Noto Sans CJK KR"/>
          <w:color w:val="17212B"/>
          <w:sz w:val="18"/>
        </w:rPr>
        <w:t xml:space="preserve">AI Basic Act, Art. 35 — high-impact AI impact assessment — </w:t>
      </w:r>
      <w:hyperlink r:id="rId34">
        <w:r>
          <w:rPr>
            <w:color w:val="2B6F8F"/>
            <w:u w:val="single"/>
            <w:rFonts w:ascii="Noto Sans CJK KR" w:hAnsi="Noto Sans CJK KR" w:eastAsia="Noto Sans CJK KR"/>
          </w:rPr>
          <w:t>official source</w:t>
        </w:r>
      </w:hyperlink>
    </w:p>
    <w:p>
      <w:pPr>
        <w:pStyle w:val="Heading2"/>
        <w:keepNext/>
      </w:pPr>
      <w:r>
        <w:t>Legal interpretation cautions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Local-only processing materially reduces company exposure to genetic data, but it does not automatically exempt the product from all privacy, digital-health or AI obligations. Applicability depends on the company’s role, the intended use, and actual data flows.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A patient’s right to medical records is not a guaranteed right to every raw bioinformatics artifact. Build against reports/structured lab output first.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A disclaimer (“not medical advice”) does not neutralize a product whose actual intended use/function is diagnosis or treatment prediction.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Changing marketing copy can change regulatory classification. Treat claim language as version-controlled product configuration.</w:t>
      </w:r>
    </w:p>
    <w:p>
      <w:pPr>
        <w:pStyle w:val="ListBullet"/>
        <w:spacing w:after="60"/>
        <w:ind w:left="259" w:hanging="173"/>
      </w:pPr>
      <w:r>
        <w:rPr>
          <w:rFonts w:ascii="Noto Sans CJK KR" w:hAnsi="Noto Sans CJK KR" w:eastAsia="Noto Sans CJK KR"/>
        </w:rPr>
        <w:t>Before launch, obtain Korean counsel on the exact lab contract, DTC scope, PIPA role allocation, digital medical-product classification, commerce flow and AI Basic Act status.</w:t>
      </w:r>
    </w:p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/>
          <w:color w:val="FFFFFF"/>
          <w:sz w:val="17"/>
          <w:shd w:fill="197B78"/>
        </w:rPr>
        <w:t xml:space="preserve"> APPENDIX B </w:t>
      </w:r>
    </w:p>
    <w:p>
      <w:pPr>
        <w:spacing w:after="100"/>
        <w:keepNext/>
      </w:pPr>
      <w:r>
        <w:rPr>
          <w:rFonts w:ascii="Noto Sans CJK KR" w:hAnsi="Noto Sans CJK KR" w:eastAsia="Noto Sans CJK KR"/>
          <w:b/>
          <w:color w:val="142A3A"/>
          <w:sz w:val="38"/>
        </w:rPr>
        <w:t>Product requirements snapshot</w:t>
      </w:r>
    </w:p>
    <w:p>
      <w:pPr>
        <w:spacing w:after="280"/>
      </w:pPr>
      <w:r>
        <w:rPr>
          <w:rFonts w:ascii="Noto Sans CJK KR" w:hAnsi="Noto Sans CJK KR" w:eastAsia="Noto Sans CJK KR"/>
          <w:color w:val="607080"/>
          <w:sz w:val="21"/>
        </w:rPr>
        <w:t>A concise checklist for a product-management or agentic workflow.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8"/>
          <w:left w:val="single" w:sz="5" w:space="0" w:color="D8E1E8"/>
          <w:bottom w:val="single" w:sz="5" w:space="0" w:color="D8E1E8"/>
          <w:right w:val="single" w:sz="5" w:space="0" w:color="D8E1E8"/>
          <w:insideH w:val="single" w:sz="5" w:space="0" w:color="D8E1E8"/>
          <w:insideV w:val="single" w:sz="5" w:space="0" w:color="D8E1E8"/>
        </w:tblBorders>
      </w:tblPr>
      <w:tblGrid>
        <w:gridCol w:w="1224"/>
        <w:gridCol w:w="6840"/>
        <w:gridCol w:w="1152"/>
      </w:tblGrid>
      <w:tr>
        <w:trPr>
          <w:tblHeader w:val="true"/>
          <w:cantSplit/>
        </w:trPr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331"/>
            <w:shd w:fill="142A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PR-001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User can buy/activate a supported certified genetic test without the startup becoming the testing institution.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PR-002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Genetic result import and profile generation work with no startup genomic backend.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PR-003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Profile is encrypted locally and deletable in one action.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PR-004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Every personalized insight has evidence grade, source result and knowledge version.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PR-005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MVP never generates diagnosis, novel disease risk or medication instructions.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PR-006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Knowledge packs update separately from profile; re-interpretation is local.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PR-007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Outbound telemetry is provably free of sensitive/genetic content.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PR-008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App discloses AI use and local/private processing in Korean.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PR-009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Supported health module visibility is feature-gated by regulatory approval/config.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PR-010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Share/export is user-selected and local, with privacy confirmation.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PR-011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On-device Q&amp;A uses only profile + approved knowledge and works offline.</w:t>
            </w:r>
          </w:p>
        </w:tc>
        <w:tc>
          <w:tcPr>
            <w:tcW w:type="dxa" w:w="333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PR-012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Hospital report compatibility can be added without changing core schema.</w:t>
            </w:r>
          </w:p>
        </w:tc>
        <w:tc>
          <w:tcPr>
            <w:tcW w:type="dxa" w:w="3331"/>
            <w:shd w:fill="F7F9FB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color w:val="17212B"/>
                <w:sz w:val="16"/>
              </w:rPr>
              <w:t>P2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Final recommendation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288"/>
      </w:tblGrid>
      <w:tr>
        <w:trPr>
          <w:cantSplit/>
        </w:trPr>
        <w:tc>
          <w:tcPr>
            <w:tcW w:type="dxa" w:w="4997"/>
            <w:shd w:fill="2E6B5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97"/>
            <w:shd w:fill="EDF7F1"/>
            <w:tcMar>
              <w:top w:w="13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2E6B55"/>
                <w:sz w:val="22"/>
              </w:rPr>
              <w:t>Build it — but build the privacy/regulatory architecture first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7212B"/>
                <w:sz w:val="21"/>
              </w:rPr>
              <w:t>The strongest Korean startup version is not “cheap DNA diagnosis.” It is a certified-test companion and private genetic health wallet with a compelling ≤₩99,000 entry point. If the company proves demand, lab economics and trust, it can later climb the regulatory ladder into pharmacogenomics, disease-risk modules, hospital integration and raw genomics. The local-first architecture remains useful at every stage.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headerReference w:type="first" r:id="rId35"/>
      <w:footerReference w:type="first" r:id="rId36"/>
      <w:pgSz w:w="12240" w:h="15840"/>
      <w:pgMar w:top="950" w:right="1123" w:bottom="950" w:left="1123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352"/>
      <w:gridCol w:w="1584"/>
    </w:tblGrid>
    <w:tr>
      <w:tc>
        <w:tcPr>
          <w:tcW w:type="dxa" w:w="4968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Noto Sans CJK KR" w:hAnsi="Noto Sans CJK KR" w:eastAsia="Noto Sans CJK KR"/>
              <w:color w:val="607080"/>
              <w:sz w:val="15"/>
            </w:rPr>
            <w:t>Confidential working document • Legal classification must be confirmed before launch</w:t>
          </w:r>
        </w:p>
      </w:tc>
      <w:tc>
        <w:tcPr>
          <w:tcW w:type="dxa" w:w="496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Noto Sans CJK KR" w:hAnsi="Noto Sans CJK KR" w:eastAsia="Noto Sans CJK KR"/>
              <w:color w:val="607080"/>
              <w:sz w:val="15"/>
            </w:rPr>
            <w:t>2026-08-08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/>
        <w:color w:val="607080"/>
        <w:sz w:val="16"/>
      </w:rPr>
      <w:t>GENOME COMPANION KOREA  •  PRODUCT BLUEPRINT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CJK KR" w:hAnsi="Noto Sans CJK KR" w:eastAsia="Noto Sans CJK KR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42A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97B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42A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42A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KR" w:hAnsi="Noto Sans CJK KR" w:eastAsia="Noto Sans CJK KR"/>
      <w:b w:val="0"/>
      <w:color w:val="607080"/>
      <w:sz w:val="17"/>
    </w:rPr>
  </w:style>
  <w:style w:type="paragraph" w:customStyle="1" w:styleId="SectionKicker">
    <w:name w:val="Section Kicker"/>
    <w:rPr>
      <w:rFonts w:ascii="Noto Sans CJK KR" w:hAnsi="Noto Sans CJK KR" w:eastAsia="Noto Sans CJK KR"/>
      <w:b/>
      <w:color w:val="197B78"/>
      <w:sz w:val="17"/>
    </w:rPr>
  </w:style>
  <w:style w:type="paragraph" w:customStyle="1" w:styleId="TableBody">
    <w:name w:val="Table Body"/>
    <w:rPr>
      <w:rFonts w:ascii="Noto Sans CJK KR" w:hAnsi="Noto Sans CJK KR" w:eastAsia="Noto Sans CJK KR"/>
      <w:b w:val="0"/>
      <w:color w:val="17212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www.law.go.kr/LSW/lsLinkCommonInfo.do?chrClsCd=010202&amp;lsJoLnkSeq=1029631389" TargetMode="External"/><Relationship Id="rId14" Type="http://schemas.openxmlformats.org/officeDocument/2006/relationships/hyperlink" Target="https://law.go.kr/lsLinkCommonInfo.do?chrClsCd=010202&amp;lsJoLnkSeq=1013364921" TargetMode="External"/><Relationship Id="rId15" Type="http://schemas.openxmlformats.org/officeDocument/2006/relationships/hyperlink" Target="https://www.law.go.kr/LSW/lsLinkCommonInfo.do?chrClsCd=010202&amp;lsJoLnkSeq=1030696975" TargetMode="External"/><Relationship Id="rId16" Type="http://schemas.openxmlformats.org/officeDocument/2006/relationships/hyperlink" Target="https://www.law.go.kr/LSW/lsLinkCommonInfo.do?chrClsCd=010202&amp;lsJoLnkSeq=1028496143" TargetMode="External"/><Relationship Id="rId17" Type="http://schemas.openxmlformats.org/officeDocument/2006/relationships/hyperlink" Target="https://www.law.go.kr/lsLinkCommonInfo.do?chrClsCd=010202&amp;lsJoLnkSeq=1031395455" TargetMode="External"/><Relationship Id="rId18" Type="http://schemas.openxmlformats.org/officeDocument/2006/relationships/hyperlink" Target="https://www.law.go.kr/lsLinkCommonInfo.do?chrClsCd=010202&amp;lsJoLnkSeq=1029335669" TargetMode="External"/><Relationship Id="rId19" Type="http://schemas.openxmlformats.org/officeDocument/2006/relationships/hyperlink" Target="https://www.law.go.kr/LSW/lsLinkCommonInfo.do?ancYnChk=&amp;chrClsCd=010202&amp;lsJoLnkSeq=1020398651" TargetMode="External"/><Relationship Id="rId20" Type="http://schemas.openxmlformats.org/officeDocument/2006/relationships/hyperlink" Target="https://www.law.go.kr/LSW/lsLinkCommonInfo.do?chrClsCd=010202&amp;lsJoLnkSeq=1033215737" TargetMode="External"/><Relationship Id="rId21" Type="http://schemas.openxmlformats.org/officeDocument/2006/relationships/hyperlink" Target="https://law.go.kr/lsLinkCommonInfo.do?chrClsCd=010202&amp;lsJoLnkSeq=1020398435" TargetMode="External"/><Relationship Id="rId22" Type="http://schemas.openxmlformats.org/officeDocument/2006/relationships/hyperlink" Target="https://www.law.go.kr/LSW/lsLinkCommonInfo.do?chrClsCd=010202&amp;lsJoLnkSeq=1029334737" TargetMode="External"/><Relationship Id="rId23" Type="http://schemas.openxmlformats.org/officeDocument/2006/relationships/hyperlink" Target="https://www.law.go.kr/LSW/lsLinkCommonInfo.do?ancYnChk=&amp;chrClsCd=010202&amp;lsJoLnkSeq=1007235937" TargetMode="External"/><Relationship Id="rId24" Type="http://schemas.openxmlformats.org/officeDocument/2006/relationships/hyperlink" Target="https://www.law.go.kr/LSW/lsLinkCommonInfo.do?chrClsCd=010202&amp;lsJoLnkSeq=1028263829" TargetMode="External"/><Relationship Id="rId25" Type="http://schemas.openxmlformats.org/officeDocument/2006/relationships/hyperlink" Target="https://www.law.go.kr/LSW/lsInfoP.do?ancYnChk=0&amp;chrClsCd=010202&amp;efYd=20260124&amp;lsiSeq=259299&amp;urlMode=lsInfoP" TargetMode="External"/><Relationship Id="rId26" Type="http://schemas.openxmlformats.org/officeDocument/2006/relationships/hyperlink" Target="https://emedi.mfds.go.kr/msismext/emd/bif/digitInfoIntrcnView.do" TargetMode="External"/><Relationship Id="rId27" Type="http://schemas.openxmlformats.org/officeDocument/2006/relationships/hyperlink" Target="https://www.mfds.go.kr/brd/m_1060/view.do?seq=15833" TargetMode="External"/><Relationship Id="rId28" Type="http://schemas.openxmlformats.org/officeDocument/2006/relationships/hyperlink" Target="https://law.go.kr/LSW/lsInfoP.do?lsiSeq=283055&amp;viewCls=lsRvsDocInfoR" TargetMode="External"/><Relationship Id="rId29" Type="http://schemas.openxmlformats.org/officeDocument/2006/relationships/hyperlink" Target="https://www.law.go.kr/admRulLsInfoP.do?admRulId=92541&amp;efYd=0" TargetMode="External"/><Relationship Id="rId30" Type="http://schemas.openxmlformats.org/officeDocument/2006/relationships/hyperlink" Target="https://www.law.go.kr/LSW/lsLinkCommonInfo.do?lsJoLnkSeq=1031810747" TargetMode="External"/><Relationship Id="rId31" Type="http://schemas.openxmlformats.org/officeDocument/2006/relationships/hyperlink" Target="https://www.law.go.kr/lsLinkCommonInfo.do?chrClsCd=010202&amp;lsJoLnkSeq=1031809547" TargetMode="External"/><Relationship Id="rId32" Type="http://schemas.openxmlformats.org/officeDocument/2006/relationships/hyperlink" Target="https://www.law.go.kr/lsLinkCommonInfo.do?chrClsCd=010202&amp;lsJoLnkSeq=1031810895" TargetMode="External"/><Relationship Id="rId33" Type="http://schemas.openxmlformats.org/officeDocument/2006/relationships/hyperlink" Target="https://www.law.go.kr/lsLinkCommonInfo.do?chrClsCd=010202&amp;lsJoLnkSeq=1031810811" TargetMode="External"/><Relationship Id="rId34" Type="http://schemas.openxmlformats.org/officeDocument/2006/relationships/hyperlink" Target="https://www.law.go.kr/lsLinkCommonInfo.do?chrClsCd=010202&amp;lsJoLnkSeq=1031810855" TargetMode="External"/><Relationship Id="rId35" Type="http://schemas.openxmlformats.org/officeDocument/2006/relationships/header" Target="header2.xml"/><Relationship Id="rId36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