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2026年09月01日_13时46分40秒_第026次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0.539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12.98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0.6255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 / 35.54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10 s；最大质心侧偏角 0.539 deg；最大横摆角速度 12.98 deg/s；第一轴最大转角 3 deg、第三轴最大转角 0.6255 deg。阶跃/正弦工况下各轴转角分配符合零质心侧偏角控制规律（速度相关前馈 + β 反馈），TCP 通信稳定。</w:t>
      </w:r>
    </w:p>
    <w:p>
      <w:r>
        <w:rPr>
          <w:rFonts w:ascii="Times New Roman" w:hAnsi="Times New Roman" w:eastAsia="宋体"/>
          <w:b w:val="0"/>
          <w:color w:val="7A5A00"/>
          <w:sz w:val="20"/>
        </w:rPr>
        <w:t>注意：TruckSim 实际起始车速 0.1 km/h 与用例设定 40 km/h 不一致（TruckSim 工况以固定 simfile 为准，COM 配置未启用）。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