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Times New Roman" w:hAnsi="Times New Roman"/>
          <w:sz w:val="21"/>
        </w:rPr>
        <w:t>30 October 2026</w:t>
        <w:br/>
        <w:t>Editor-in-Chief</w:t>
        <w:br/>
        <w:t>Human Reproduction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Dear Editor-in-Chief,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Please consider our manuscript, “Reference-country composition and</w:t>
        <w:br/>
        <w:t>age-standardized PCOS-attributed infertility contrasts: China and 18 G20</w:t>
        <w:br/>
        <w:t>countries, 1990–2023”, as an Original Article.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We ask how changing country population shares within age contribute to a</w:t>
        <w:br/>
        <w:t>changing China-minus-international-reference difference in modeled</w:t>
        <w:br/>
        <w:t>PCOS-attributed infertility, even when age-standardization weights</w:t>
        <w:br/>
        <w:t>remain fixed. This informs the interpretation of pooled international</w:t>
        <w:br/>
        <w:t>benchmarks used in reproductive-health monitoring.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In GBD 2023 estimates for females aged 15–49, the total</w:t>
        <w:br/>
        <w:t>China-minus-18-country difference changed by +151.54 per 100,000 between</w:t>
        <w:br/>
        <w:t>1990 and 2023. Established symmetric accounting allocated +88.65 to</w:t>
        <w:br/>
        <w:t>reference-country composition, +271.51 to Chinese rates and −208.62 to</w:t>
        <w:br/>
        <w:t>reference-country rates. Substituting UN WPP 2024 shares gave +86.76 for</w:t>
        <w:br/>
        <w:t>composition. Alternative benchmark definitions changed the sign of a</w:t>
        <w:br/>
        <w:t>near-zero secondary-infertility contrast in 2023.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The study makes explicit how the population represented by a pooled</w:t>
        <w:br/>
        <w:t>reference changes within age. It adds absolute country-composition</w:t>
        <w:br/>
        <w:t>accounting to the geographical burden and trend questions addressed by</w:t>
        <w:br/>
        <w:t>earlier PCOS-attributed infertility studies, and shows why the same</w:t>
        <w:br/>
        <w:t>near-zero secondary contrast changes sign under different reference</w:t>
        <w:br/>
        <w:t>definitions. Reporting reference weights and absolute components can</w:t>
        <w:br/>
        <w:t>improve the interpretation of reproductive-health monitoring. Jointly</w:t>
        <w:br/>
        <w:t>aligned posterior draws were not obtained; derived results retain their</w:t>
        <w:br/>
        <w:t>point-estimate status. Code and aggregate outputs are linked to the</w:t>
        <w:br/>
        <w:t>immutable scientific snapshot; licensed source extracts remain in the</w:t>
        <w:br/>
        <w:t>private archive.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OpenAI ChatGPT and Codex supported code development, analysis checks,</w:t>
        <w:br/>
        <w:t>drafting and technical editing under researcher-specified questions and</w:t>
        <w:br/>
        <w:t>revision instructions, including editorial revision and document checks</w:t>
        <w:br/>
        <w:t>on 30 October 2026. The earlier documented Codex session on 29 October</w:t>
        <w:br/>
        <w:t>2026 recorded gpt-6.1-sol; exact model versions for earlier separate</w:t>
        <w:br/>
        <w:t>ChatGPT sessions and an independently verified serving identifier for</w:t>
        <w:br/>
        <w:t>this later revision are not specified. No artificial observations or</w:t>
        <w:br/>
        <w:t>posterior draws replaced study data. The authors’ final scientific</w:t>
        <w:br/>
        <w:t>review, verification of AI-supported content and approval remain to be</w:t>
        <w:br/>
        <w:t>confirmed before submission; human authors retain responsibility for the</w:t>
        <w:br/>
        <w:t>work.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XX: Corresponding author to confirm final author approval, authorship</w:t>
        <w:br/>
        <w:t>order, exclusive consideration, related manuscripts/preprints, funding</w:t>
        <w:br/>
        <w:t>and disclosures, and institutional ethics-review applicability before</w:t>
        <w:br/>
        <w:t>submission. These declarations have not been assumed on behalf of the</w:t>
        <w:br/>
        <w:t>authors.</w:t>
      </w:r>
    </w:p>
    <w:p>
      <w:pPr>
        <w:spacing w:after="140" w:line="259" w:lineRule="auto"/>
      </w:pPr>
      <w:r>
        <w:rPr>
          <w:rFonts w:ascii="Times New Roman" w:hAnsi="Times New Roman"/>
          <w:sz w:val="21"/>
        </w:rPr>
        <w:t>Yours sincerely,</w:t>
        <w:br/>
        <w:t>XX Corresponding Author</w:t>
        <w:br/>
        <w:t>XX Institution; XX email; ORCID: XX</w:t>
      </w:r>
    </w:p>
    <w:sectPr w:rsidR="00FC693F" w:rsidRPr="0006063C" w:rsidSect="00034616">
      <w:head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76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76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/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/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/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/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/>
    </w:pPr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276" w:lineRule="auto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76" w:lineRule="auto"/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