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for Human Reproduction v6</w:t>
      </w:r>
    </w:p>
    <w:p>
      <w:pPr>
        <w:pStyle w:val="Heading1"/>
      </w:pPr>
      <w:r>
        <w:t>Table 1 PCOS-attributed infertility rates and contrasts under contemporary GBD</w:t>
        <w:br/>
        <w:t>population shares.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020"/>
        <w:gridCol w:w="1587"/>
        <w:gridCol w:w="1701"/>
        <w:gridCol w:w="1871"/>
        <w:gridCol w:w="1644"/>
      </w:tblGrid>
      <w:tr>
        <w:trPr>
          <w:tblHeader w:val="on"/>
          <w:cantSplit/>
          <w:tblHeader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Type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Year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China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Reference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Difference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Ratio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Total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1990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333.56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606.48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-272.92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0.550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Total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2023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605.08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726.45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-121.38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0.833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Primary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1990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44.70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214.64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-169.94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0.208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Primary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2023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97.35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220.89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-123.54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0.441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Secondary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1990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288.86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391.84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-102.98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0.737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Secondary</w:t>
            </w:r>
          </w:p>
        </w:tc>
        <w:tc>
          <w:tcPr>
            <w:tcW w:type="dxa" w:w="10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2023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507.72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505.56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+2.16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1.004</w:t>
            </w:r>
          </w:p>
        </w:tc>
      </w:tr>
    </w:tbl>
    <w:p>
      <w:r>
        <w:t>Rates and differences are per 100,000 females, standardized within ages</w:t>
        <w:br/>
        <w:t>15–49. Difference is China minus reference. All are model point</w:t>
        <w:br/>
        <w:t>estimates without propagated posterior intervals.</w:t>
      </w:r>
    </w:p>
    <w:p>
      <w:r>
        <w:br w:type="page"/>
      </w:r>
    </w:p>
    <w:p>
      <w:pPr>
        <w:pStyle w:val="Heading1"/>
      </w:pPr>
      <w:r>
        <w:t>Table 2 Symmetric PCOS contrast-change decomposition, 1990–2023, by population</w:t>
        <w:br/>
        <w:t>source.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361"/>
        <w:gridCol w:w="1644"/>
        <w:gridCol w:w="1644"/>
        <w:gridCol w:w="1587"/>
        <w:gridCol w:w="1474"/>
      </w:tblGrid>
      <w:tr>
        <w:trPr>
          <w:tblHeader w:val="on"/>
          <w:cantSplit/>
          <w:tblHeader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Type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Shares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China rates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m:oMath>
              <m:r>
                <m:t>X</m:t>
              </m:r>
            </m:oMath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Ref. rates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m:oMath>
              <m:r>
                <m:t>Q</m:t>
              </m:r>
            </m:oMath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Ref. shares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m:oMath>
              <m:r>
                <m:t>S</m:t>
              </m:r>
            </m:oMath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Net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Total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+271.51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-208.62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+88.65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+151.54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Total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+271.51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-207.59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+86.76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+150.69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Primary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+52.65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-38.09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+31.84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+46.40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Primary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+52.65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-37.75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+30.13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+45.02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Secondary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+218.86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-170.53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+56.81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+105.14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Secondary</w:t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+218.86</w:t>
            </w:r>
          </w:p>
        </w:tc>
        <w:tc>
          <w:tcPr>
            <w:tcW w:type="dxa" w:w="16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-169.83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+56.64</w:t>
            </w:r>
          </w:p>
        </w:tc>
        <w:tc>
          <w:tcPr>
            <w:tcW w:type="dxa" w:w="147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+105.67</w:t>
            </w:r>
          </w:p>
        </w:tc>
      </w:tr>
    </w:tbl>
    <w:p>
      <w:r>
        <w:t>All contributions are per 100,000 females, with fixed standard age</w:t>
        <w:br/>
        <w:t>weights. Components sum before rounding. UN changes country shares only.</w:t>
        <w:br/>
        <w:t>Positive and negative components may cancel; percentages use the signed</w:t>
        <w:br/>
        <w:t>net denominator defined in Methods.</w:t>
      </w:r>
    </w:p>
    <w:p>
      <w:r>
        <w:br w:type="page"/>
      </w:r>
    </w:p>
    <w:p>
      <w:pPr>
        <w:pStyle w:val="Heading1"/>
      </w:pPr>
      <w:r>
        <w:t>Table 3 Benchmark definition changes the 2023 PCOS secondary infertility</w:t>
        <w:br/>
        <w:t>contrast.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438"/>
        <w:gridCol w:w="2154"/>
        <w:gridCol w:w="2551"/>
      </w:tblGrid>
      <w:tr>
        <w:trPr>
          <w:tblHeader w:val="on"/>
          <w:cantSplit/>
          <w:tblHeader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Population source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Benchmark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Reference rate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0F0F0"/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China minus reference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Current-year shares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505.56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+2.16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Fixed-1990 shares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555.71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-47.99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GBD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Equal countries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635.61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-127.89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Current-year shares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505.46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+2.26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Fixed-1990 shares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556.06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-48.34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UN WPP</w:t>
            </w:r>
          </w:p>
        </w:tc>
        <w:tc>
          <w:tcPr>
            <w:tcW w:type="dxa" w:w="243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 xml:space="preserve">Equal countries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635.61</w:t>
            </w:r>
          </w:p>
        </w:tc>
        <w:tc>
          <w:tcPr>
            <w:tcW w:type="dxa" w:w="255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keepNext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-127.89</w:t>
            </w:r>
          </w:p>
        </w:tc>
      </w:tr>
    </w:tbl>
    <w:p>
      <w:r>
        <w:t>China’s standardized rate is 507.72 per 100,000 throughout. Country</w:t>
        <w:br/>
        <w:t>weights are applied within each age; the same GBD disease rates and age</w:t>
        <w:br/>
        <w:t>standard are used. Equal-country rows are identical by construction.</w:t>
        <w:br/>
        <w:t>Each row represents a different benchmark definition.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76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76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/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/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/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/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/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/>
    </w:pPr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276" w:lineRule="auto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76" w:lineRule="auto"/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