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 October 2026</w:t>
        <w:br/>
        <w:br/>
        <w:t>Editor-in-Chief</w:t>
        <w:br/>
        <w:br/>
        <w:t>Human Reproduction</w:t>
      </w:r>
    </w:p>
    <w:p>
      <w:r>
        <w:t>Dear Editor-in-Chief,</w:t>
      </w:r>
    </w:p>
    <w:p>
      <w:r>
        <w:t>Please consider our manuscript, “Reference-country composition and age-standardized PCOS-attributed infertility contrasts: China and 18 G20 countries, 1990–2023", as an Original Article.</w:t>
      </w:r>
    </w:p>
    <w:p>
      <w:r>
        <w:t>The scientific question is how much of the changing China-minus-international-reference difference in modeled PCOS-attributed infertility is allocated to changing country population shares within age, even when age-standardization weights remain fixed. This is relevant to readers using international burden estimates to monitor reproductive health: the reference population represented at each date is part of the question being answered.</w:t>
      </w:r>
    </w:p>
    <w:p>
      <w:r>
        <w:t>In GBD 2023 estimates for females aged 15–49, the total China-minus-18-country difference changed by +151.54 per 100,000 between 1990 and 2023. Established symmetric accounting allocated +88.65 to reference-country composition, alongside +271.51 from Chinese rates and -208.62 from reference-country rates. Replacing reference shares with UN WPP 2024 gave a similar +86.76 composition component. Alternative benchmark definitions changed the sign of a near-zero secondary-infertility contrast in 2023. We report absolute components before ratios and distinguish demographic sensitivity from statistical uncertainty.</w:t>
      </w:r>
    </w:p>
    <w:p>
      <w:r>
        <w:t>Liu and colleagues' 2024 Human Reproduction paper (doi:10.1093/humrep/dead241) described PCOS-attributed infertility burden and geographical trends. Our manuscript addresses the different question of how an explicitly pooled reference is constructed. Its contribution is a focused reproductive-epidemiology application and reporting implication, not a new decomposition algorithm or a claim that earlier national rate comparisons were erroneous. It does not estimate individual infertility risk, treatment benefit or causal effects.</w:t>
      </w:r>
    </w:p>
    <w:p>
      <w:r>
        <w:t>The work is an exploratory secondary analysis of aggregate estimates. Confirmed jointly aligned GBD posterior draws were unavailable; uncertainty intervals for our custom contrasts and components are therefore not supplied. This limitation is explicit in the abstract and article. Code, aggregate results and a reproducibility archive are provided; licensed GBD originals and restricted source-cell extracts are excluded from the public repository. OpenAI-assisted coding and drafting are disclosed in the manuscript.</w:t>
      </w:r>
    </w:p>
    <w:p>
      <w:r>
        <w:t>XX: Corresponding author to confirm final author approval, authorship order, exclusive consideration, related manuscripts/preprints, funding and disclosures, and institutional ethics-review applicability before submission. These declarations have not been assumed on behalf of the authors.</w:t>
      </w:r>
    </w:p>
    <w:p>
      <w:r>
        <w:t>Yours sincerely,</w:t>
        <w:br/>
        <w:br/>
        <w:t>XX Corresponding Author</w:t>
        <w:br/>
        <w:br/>
        <w:t>XX Institution; XX email; ORCID: XX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