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Highlights</w:t>
      </w:r>
    </w:p>
    <w:p>
      <w:pPr>
        <w:pStyle w:val="ListBullet"/>
        <w:spacing w:after="120"/>
      </w:pPr>
      <w:r>
        <w:t>Severity-resolved reanalysis links myeloid programs to presbycusis progression</w:t>
      </w:r>
    </w:p>
    <w:p>
      <w:pPr>
        <w:pStyle w:val="ListBullet"/>
        <w:spacing w:after="120"/>
      </w:pPr>
      <w:r>
        <w:t>Module M12 (66 genes) tracks severity and is preserved in the inferior colliculus</w:t>
      </w:r>
    </w:p>
    <w:p>
      <w:pPr>
        <w:pStyle w:val="ListBullet"/>
        <w:spacing w:after="120"/>
      </w:pPr>
      <w:r>
        <w:t>Forty-eight genes are shared between mouse cochlea and inferior colliculus</w:t>
      </w:r>
    </w:p>
    <w:p>
      <w:pPr>
        <w:pStyle w:val="ListBullet"/>
        <w:spacing w:after="120"/>
      </w:pPr>
      <w:r>
        <w:t>All 2,019 CellChat interactions show declining cochlear communication with age</w:t>
      </w:r>
    </w:p>
    <w:p>
      <w:pPr>
        <w:pStyle w:val="ListBullet"/>
        <w:spacing w:after="120"/>
      </w:pPr>
      <w:r>
        <w:t>APP-CD74 signaling emerges at 12 months; PTPRC-MRC1 persists at every 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