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国际钞票设计印制与防伪</w:t>
      </w:r>
    </w:p>
    <w:p>
      <w:r>
        <w:t>发布日期：2019-08-28</w:t>
        <w:br/>
        <w:t>来源：中国人民银行</w:t>
        <w:br/>
        <w:t>原文：https://www.pbc.gov.cn/huobijinyinju/147948/147974/214191/3881781/index.html</w:t>
      </w:r>
    </w:p>
    <w:p>
      <w:r>
        <w:t>近期，瑞士钞票印制与防伪技术专家Anton Bleikolm（白安东）博士为国内印制行业专业人士做了题为《国际钞票设计印制与防伪》的讲座，他从钞票的基材、一线防伪特征、设计与防伪以及对钞票流通性能的需求等角度，对国际钞票的设计、印制工艺与防伪技术的现状与未来进行了分析预测，在票面设计与防伪技术的集成、一线防伪特征的选择标准等方面提出了一些独到见解。现将讲座主要内容汇编，供参考。</w:t>
      </w:r>
    </w:p>
    <w:p>
      <w:r>
        <w:t>一、钞票的基材的分类</w:t>
      </w:r>
    </w:p>
    <w:p>
      <w:r>
        <w:t>（一）钞票使用的基材类型。目前国际钞票使用的基材分为纸质、塑料和复合基材三种。</w:t>
      </w:r>
    </w:p>
    <w:p>
      <w:r>
        <w:t>1.纸质基材。纸质基材的使用应充分综合考虑到对其他防伪特征的影响。如纸张的棉纤维越长，则耐久性会更好，但会影响到其他防伪特征（水印效果）。</w:t>
      </w:r>
    </w:p>
    <w:p>
      <w:r>
        <w:t>2.塑料基材。为达到钞票流通的要求，塑料钞印成之后表面需采用涂布工艺，但涂布工艺会影响钞票上的其他防伪特征效果，如凹印的效果。值得注意的是，使用塑料基材须结合防伪技术的提高，最初发行的塑料钞没有使用一线防伪特征，出现了比较严重的造假情况。后经不断提升防伪技术，增加雕刻凹印和光彩光变等技术以提升塑料钞的防伪性能。</w:t>
      </w:r>
    </w:p>
    <w:p>
      <w:r>
        <w:t>3.复合基材。瑞士兰卡公司设计的专利技术Durasafe基材，它分为三层结构，中间是一层塑基（聚酰胺），上下两层是纸基，其制作方式是通过高温和高压注压，使两层纸基与塑基相结合，熔化的塑基渗入纸基的微孔，冷却形成一个牢固的致密结构，各层之间不可分离。另外捷德公司的Hybrid基材，是塑+纸+塑结构。</w:t>
      </w:r>
    </w:p>
    <w:p>
      <w:r>
        <w:t>（二）复合基材防伪特征的应用。以Durasafe基材为例，塑料基材上应用的防伪特征如Aurora（变色特征）、Eclipse（透视光可变装置）、Horizon，Latitude（箔特征）在Durasafe基材上可以使用。同时，视窗、开窗式安全线、水印、珠光条等纸质基材的防伪特征在Durasafe基材也可以使用。而且在同一个部位可以叠加设置防伪特征，如视窗部位可以集成印刷（胶印与丝印光变）与雕刻（透明雕刻）两种技术。</w:t>
      </w:r>
    </w:p>
    <w:p>
      <w:r>
        <w:t>（三）采用复合基材的优势。以Durasafe基材为例，对以上三类基材进行测试，Durasafe基材的耐高温熨烫和耐洗涤、耐折性表现要好于纸质基材和塑料基材，其在使用过程中的耐内部撕裂、过机具的稳定性和耐脏污性也都要优于纸质基材和塑料基材。Durasafe基材和塑料基材的耐折程度相当，可以达到75000次，是纸质基材的37.5倍。塑料基材的90°C高温的洗涤环境下，其表面的全息条会出现脱落现象。Durasafe基材的防变造能力要优于其他两种基材，用手术刀或镊子对不同基材进行揭层，塑料基材可揭分为两层，而Durasafe基材只能揭取表面一点棉质部分。</w:t>
      </w:r>
    </w:p>
    <w:p>
      <w:r>
        <w:t>二、国际上对钞票防伪特征与设计的做法——以新版瑞士法郎为例</w:t>
      </w:r>
    </w:p>
    <w:p>
      <w:r>
        <w:t>（一）钞票设计与生产过程的阶段。</w:t>
      </w:r>
    </w:p>
    <w:p>
      <w:r>
        <w:t>1.准备阶段。分为确定主题与概念，描述现有与可能出现的需求，选择和确定防伪元素，制作设计概要等内容。瑞士法郎设计的这个阶段，是由央行确定新版主题，组织设计竞赛。央行明确第九套瑞士法郎不再使用名人主题，主景展现瑞士的特色。</w:t>
      </w:r>
    </w:p>
    <w:p>
      <w:r>
        <w:t>2.设计阶段。分为制作设计初稿、设计与防伪集成、安排功能性特征等内容。把可见特征、触感特征、机读特征、集中处理和法证特征集成在一张钞票上时，其目的是最大化实现钞票的防伪性、功能性、机读性、耐用性和适印性。设计师的主要任务是根据央行需求创建方案，不过多考虑印刷方式，然后设计师和印钞厂共同探讨哪些图案采用胶印印刷，哪些采用凹印印刷，是否有安全线等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031672" cy="98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672" cy="98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3.试生产阶段。分为组织安排、初步试印、组织验证、质量控制、打样等内容。打样由央行、印钞厂、设计师三方确认。</w:t>
      </w:r>
    </w:p>
    <w:p>
      <w:r>
        <w:t>4.大生产阶段。分为生产、质量控制、打样等内容。确认设计效果、应用的技术和质量标准，完成设备调试。央行选择合适时机向公众披露相关信息。</w:t>
      </w:r>
    </w:p>
    <w:p>
      <w:r>
        <w:t>5.新版钞发行以及公众宣传阶段。</w:t>
      </w:r>
    </w:p>
    <w:p>
      <w:r>
        <w:t>（二）有关钞票设计与防伪应用集成的建议。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219498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498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钞票早期设计阶段就应当考虑各种机读特征布局，避免机读特征之间可能出现的相互影响，要充分确保参与钞票设计生产和防伪设备等各方的密切合作。央行在发行和设计新钞阶段，需要站在一个战略高度来规划材料和技术的选择，需要考虑到技术的进步和未来发展的方向，以及流通环境和方式的变化。新版钞票的设计和防伪不仅要考虑到公众对其的识别和使用情况，更要考虑自助设备的使用，要具备很强的机读能力。因此设计过程中要加入有效的二线防伪特征，以及针对央行、商业银行现金清分所使用的三线防伪。</w:t>
      </w:r>
    </w:p>
    <w:p>
      <w:r>
        <w:t>（三）新版瑞士法郎的设计和防伪。第九套瑞士法郎在印制工艺和防伪技术上都有了较大的改善，获得IACA（国际货币事务协会）2017年年度最佳钞票奖。第九版瑞士法郎的公众防伪特征有15项，采用了光彩光变油墨和五色凹版印刷，极大的提升了钞票的防伪能力。</w:t>
      </w:r>
    </w:p>
    <w:p>
      <w:r>
        <w:t>第8版与第9版瑞郎比较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t>工艺</w:t>
            </w:r>
          </w:p>
        </w:tc>
        <w:tc>
          <w:tcPr>
            <w:tcW w:type="dxa" w:w="3202"/>
          </w:tcPr>
          <w:p>
            <w:r>
              <w:t>第8版瑞郎</w:t>
            </w:r>
          </w:p>
        </w:tc>
        <w:tc>
          <w:tcPr>
            <w:tcW w:type="dxa" w:w="3202"/>
          </w:tcPr>
          <w:p>
            <w:r>
              <w:t>第9版瑞郎</w:t>
            </w:r>
          </w:p>
        </w:tc>
      </w:tr>
      <w:tr>
        <w:tc>
          <w:tcPr>
            <w:tcW w:type="dxa" w:w="3202"/>
          </w:tcPr>
          <w:p>
            <w:r>
              <w:t>胶印 正面/背面</w:t>
            </w:r>
          </w:p>
        </w:tc>
        <w:tc>
          <w:tcPr>
            <w:tcW w:type="dxa" w:w="3202"/>
          </w:tcPr>
          <w:p>
            <w:r>
              <w:t>静态防伪 像素结构</w:t>
            </w:r>
          </w:p>
        </w:tc>
        <w:tc>
          <w:tcPr>
            <w:tcW w:type="dxa" w:w="3202"/>
          </w:tcPr>
          <w:p>
            <w:r>
              <w:t>动态防伪 网络结构</w:t>
            </w:r>
          </w:p>
        </w:tc>
      </w:tr>
      <w:tr>
        <w:tc>
          <w:tcPr>
            <w:tcW w:type="dxa" w:w="3202"/>
          </w:tcPr>
          <w:p>
            <w:r>
              <w:t>丝网印刷背景</w:t>
            </w:r>
          </w:p>
        </w:tc>
        <w:tc>
          <w:tcPr>
            <w:tcW w:type="dxa" w:w="3202"/>
          </w:tcPr>
          <w:p>
            <w:r/>
          </w:p>
        </w:tc>
        <w:tc>
          <w:tcPr>
            <w:tcW w:type="dxa" w:w="3202"/>
          </w:tcPr>
          <w:p>
            <w:r>
              <w:t>背面</w:t>
            </w:r>
          </w:p>
        </w:tc>
      </w:tr>
      <w:tr>
        <w:tc>
          <w:tcPr>
            <w:tcW w:type="dxa" w:w="3202"/>
          </w:tcPr>
          <w:p>
            <w:r>
              <w:t>箔技术</w:t>
            </w:r>
          </w:p>
        </w:tc>
        <w:tc>
          <w:tcPr>
            <w:tcW w:type="dxa" w:w="3202"/>
          </w:tcPr>
          <w:p>
            <w:r>
              <w:t>库兹公司的金属号码</w:t>
            </w:r>
          </w:p>
        </w:tc>
        <w:tc>
          <w:tcPr>
            <w:tcW w:type="dxa" w:w="3202"/>
          </w:tcPr>
          <w:p>
            <w:r>
              <w:t>库兹公司的kinegram volume技术</w:t>
            </w:r>
          </w:p>
        </w:tc>
      </w:tr>
      <w:tr>
        <w:tc>
          <w:tcPr>
            <w:tcW w:type="dxa" w:w="3202"/>
          </w:tcPr>
          <w:p>
            <w:r>
              <w:t>丝网印刷光变/光彩光变</w:t>
            </w:r>
          </w:p>
        </w:tc>
        <w:tc>
          <w:tcPr>
            <w:tcW w:type="dxa" w:w="3202"/>
          </w:tcPr>
          <w:p>
            <w:r>
              <w:t>光变油墨/珠光油墨</w:t>
            </w:r>
          </w:p>
        </w:tc>
        <w:tc>
          <w:tcPr>
            <w:tcW w:type="dxa" w:w="3202"/>
          </w:tcPr>
          <w:p>
            <w:r>
              <w:t>光彩光变油墨</w:t>
            </w:r>
          </w:p>
        </w:tc>
      </w:tr>
      <w:tr>
        <w:tc>
          <w:tcPr>
            <w:tcW w:type="dxa" w:w="3202"/>
          </w:tcPr>
          <w:p>
            <w:r>
              <w:t>凹印背面</w:t>
            </w:r>
          </w:p>
        </w:tc>
        <w:tc>
          <w:tcPr>
            <w:tcW w:type="dxa" w:w="3202"/>
          </w:tcPr>
          <w:p>
            <w:r>
              <w:t>3色</w:t>
            </w:r>
          </w:p>
        </w:tc>
        <w:tc>
          <w:tcPr>
            <w:tcW w:type="dxa" w:w="3202"/>
          </w:tcPr>
          <w:p>
            <w:r>
              <w:t>5色</w:t>
            </w:r>
          </w:p>
        </w:tc>
      </w:tr>
      <w:tr>
        <w:tc>
          <w:tcPr>
            <w:tcW w:type="dxa" w:w="3202"/>
          </w:tcPr>
          <w:p>
            <w:r>
              <w:t>凹印正面</w:t>
            </w:r>
          </w:p>
        </w:tc>
        <w:tc>
          <w:tcPr>
            <w:tcW w:type="dxa" w:w="3202"/>
          </w:tcPr>
          <w:p>
            <w:r>
              <w:t>5色</w:t>
            </w:r>
          </w:p>
        </w:tc>
        <w:tc>
          <w:tcPr>
            <w:tcW w:type="dxa" w:w="3202"/>
          </w:tcPr>
          <w:p>
            <w:r>
              <w:t>5色</w:t>
            </w:r>
          </w:p>
        </w:tc>
      </w:tr>
    </w:tbl>
    <w:p/>
    <w:p>
      <w:r>
        <w:t>三、钞票设计流通流通性能的需求</w:t>
      </w:r>
    </w:p>
    <w:p>
      <w:r>
        <w:t>（一）制定合理的标准。设计印制成功的钞票不仅能吸引公众，容易区别不同面额，保证安全可靠，同时可以实现机具的自动检测。对央行控制发行成本来说，要增强耐用持久性。设计之初的标准制定更多的考验各方的协同合作，制定更合理的标准，符合机具自动化处理的要求、流通的情况以及成本的控制。</w:t>
      </w:r>
    </w:p>
    <w:p>
      <w:r>
        <w:t>（二）提高设计水平。央行发行的钞票代表国家的核心价值，能够在基材和印刷中应用各种防伪技术，满足不同防伪设计需求，形成多层次防伪架构。要注意防伪特征与钞票设计的有机结合。</w:t>
      </w:r>
    </w:p>
    <w:p>
      <w:r>
        <w:t>（三）色彩。色彩是认识和区别不同面额最好的元素，把握好胶印与凹印部分色彩的平衡，一线防伪特征的色彩选择应注意强化，能够引起公众关注。</w:t>
      </w:r>
    </w:p>
    <w:p>
      <w:r>
        <w:t>（四）耐用性。 耐用性取决于基材、印制技术以及最后的涂布。理想的钞票耐用性设计应当是在保持优质票面的状况下流通3-4年，然后很快破损，以便于尽快退出流通。</w:t>
      </w:r>
    </w:p>
    <w:p>
      <w:r>
        <w:t>（人民银行南京分行货币金银处）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