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697D7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AEAEA"/>
        <w:spacing w:before="0" w:beforeAutospacing="0" w:after="0" w:afterAutospacing="0"/>
        <w:ind w:left="0" w:right="0" w:firstLine="420"/>
        <w:jc w:val="center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EAEAEA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EAEAEA"/>
          <w:lang w:val="en-US" w:eastAsia="zh-CN"/>
        </w:rPr>
        <w:t>反洗钱法律法规</w:t>
      </w:r>
    </w:p>
    <w:p w14:paraId="2BC564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AEAEA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EAEAEA"/>
        </w:rPr>
        <w:t>我国目前涉及反洗钱内容的法律法规主要包括以下两个方面：</w:t>
      </w:r>
    </w:p>
    <w:p w14:paraId="0B356D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AEAEA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EAEAEA"/>
        </w:rPr>
        <w:t>一、洗钱犯罪相关刑事规定。《刑法》第191条规定了“洗钱罪”的构成要件和刑罚，第312条“掩饰、隐瞒犯罪所得收益罪”和第349条“窝藏、转移、隐瞒毒品、毒赃罪”也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EAEAEA"/>
        </w:rPr>
        <w:t>共同构成对洗钱犯罪进行刑事打击的法律基础，一般被视为广义洗钱罪。</w:t>
      </w:r>
    </w:p>
    <w:p w14:paraId="38044E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AEAEA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EAEAEA"/>
        </w:rPr>
        <w:t>二、反洗钱监管、义务等行政规定。（一）法律层级，包括《反洗钱法》和《中国人民银行法》。前者规定了我国反洗钱制度的基本内容，包括金融机构和特定非金融机构反洗钱义务的内容，以及中国人民银行和其他相关部门的反洗钱监督管理职责。后者规定了中国人民银行在反洗钱工作中的职责。（二）部门规章和规范性文件层级。包括《金融机构反洗钱规定》、《金融机构客户身份识别和客户身份资料及交易记录保存管理办法》、《金融机构大额交易和可疑交易报告管理办法》、《中国人民银行关于修改〈金融机构大额交易和可疑交易报告管理办法〉的决定》、《涉及恐怖活动资产冻结管理办法》等法律法规以及细化规定。</w:t>
      </w:r>
    </w:p>
    <w:p w14:paraId="63963E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AEAEA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EAEAEA"/>
        </w:rPr>
        <w:t>1.《中华人民共和国反洗钱法》，2006年10月31日第十届全国人大常委会第二十四次会议通过，自2007年1月1日起施行。</w:t>
      </w:r>
    </w:p>
    <w:p w14:paraId="228AF12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AEAEA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EAEAEA"/>
        </w:rPr>
        <w:t>2.《金融机构反洗钱规定》（中国人民银行令〔2006〕第1号），自2007年1月1日起施行。</w:t>
      </w:r>
    </w:p>
    <w:p w14:paraId="3C1C2C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AEAEA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EAEAEA"/>
        </w:rPr>
        <w:t>3.《金融机构客户身份识别和客户身份资料及交易记录保存管理办法》（中国人民银行 中国银行业监督管理委员会 中国证券监督管理委员会 中国保险监督管理委员会令〔2007〕第2号），自2007年8月1日起施行。</w:t>
      </w:r>
    </w:p>
    <w:p w14:paraId="56D3C22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AEAEA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EAEAEA"/>
        </w:rPr>
        <w:t>4.《金融机构大额交易和可疑交易报告管理办法》（中国人民银行令〔2016〕第3号），自2017年7月1日起施行。</w:t>
      </w:r>
    </w:p>
    <w:p w14:paraId="548D3A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AEAEA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EAEAEA"/>
        </w:rPr>
        <w:t>5.《中国人民银行关于修改〈金融机构大额交易和可疑交易报告管理办法〉的决定》（中国人民银行令〔2018〕第2号），自发布之日起施行。</w:t>
      </w:r>
    </w:p>
    <w:p w14:paraId="17A82B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AEAEA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EAEAEA"/>
        </w:rPr>
        <w:t>6.《涉及恐怖活动资产冻结管理办法》（中国人民银行 公安部 国家安全部令〔2014〕第1号），自发布之日起施行。</w:t>
      </w:r>
    </w:p>
    <w:p w14:paraId="08A2398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E3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2026-10-14T02:13:39Z</dcterms:created>
  <dc:creator>20178</dc:creator>
  <cp:lastModifiedBy>浠</cp:lastModifiedBy>
  <dcterms:modified xsi:type="dcterms:W3CDTF">2026-10-14T02:14:26Z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eyJoZGlkIjoiMDlhYTA5MDM2MDc1ZTgzYzg4NDAzMmFkNjg3MmFjYTIiLCJ1c2VySWQiOiIxNjkwMzUyNDc1In0=</vt:lpwstr>
  </property>
  <property fmtid="{D5CDD505-2E9C-101B-9397-08002B2CF9AE}" pid="4" name="ICV">
    <vt:lpwstr>1734D73741AF49F5B8C06ED324E57D10_12</vt:lpwstr>
  </property>
</Properties>
</file>