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428E9">
      <w:pPr>
        <w:rPr>
          <w:rFonts w:hint="eastAsia"/>
        </w:rPr>
      </w:pPr>
      <w:r>
        <w:rPr>
          <w:rFonts w:hint="eastAsia"/>
        </w:rPr>
        <w:t>近日，著名经济学家厉以宁在北京举办的“中国信用经济论坛”上指出，信用是经济生活中对交易者合法权益的尊重与维护。在市场经济中，骗了所有人的后果是被所有人骗了，没有赢者可言。</w:t>
      </w:r>
    </w:p>
    <w:p w14:paraId="61E51D87">
      <w:pPr>
        <w:rPr>
          <w:rFonts w:hint="eastAsia"/>
        </w:rPr>
      </w:pPr>
    </w:p>
    <w:p w14:paraId="235CC84B">
      <w:pPr>
        <w:rPr>
          <w:rFonts w:hint="eastAsia"/>
        </w:rPr>
      </w:pPr>
      <w:r>
        <w:rPr>
          <w:rFonts w:hint="eastAsia"/>
        </w:rPr>
        <w:t>厉以宁指出，信用体系的崩溃与瓦解将对经济生活造成巨大的损害，对社会生活带来灾难性后果。对经济学中最难回答的“公平”问题，其最合理的认定来自社会认同，而认同感的培育是建立在互信的基础上的。缺乏认同感的社会对经济的破坏是不可估量的，而效率最大化作为经济行为的终极目标，其超常实现的基础在于道德，其核心正是诚信。因此倡导诚信，惩治背信，重建信用道德规范与建设信用法律体系，已是刻不容缓的问题。</w:t>
      </w:r>
    </w:p>
    <w:p w14:paraId="06CCEEE6">
      <w:pPr>
        <w:rPr>
          <w:rFonts w:hint="eastAsia"/>
        </w:rPr>
      </w:pPr>
    </w:p>
    <w:p w14:paraId="30F0646D">
      <w:r>
        <w:rPr>
          <w:rFonts w:hint="eastAsia"/>
        </w:rPr>
        <w:t>著名经济法学家江平强调，我国现今的信用状况可用“危机”二字形容当不为过。信用与风险成反比。市场信用暂时混乱与随之带来的风险并不可怕，可怕的是这种风险过大，这个阶段过长。因此在信用立法上要体现三个原则：一是信用要作为一种资格与能力，成为进入市场的入场券；二是信用要构成一种资本与财富，发挥商誉的品牌效应；三是信用也应成为社会公众可以共享的信息资讯，发挥社会的监督舆论作用。江平同时不无担忧地指出，这三者的执行评估机构本身如果再不讲信用，那可就更加危险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C5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2026-10-14T02:45:47Z</dcterms:created>
  <dc:creator>20178</dc:creator>
  <cp:lastModifiedBy>浠</cp:lastModifiedBy>
  <dcterms:modified xsi:type="dcterms:W3CDTF">2026-10-14T02:45:55Z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eyJoZGlkIjoiMDlhYTA5MDM2MDc1ZTgzYzg4NDAzMmFkNjg3MmFjYTIiLCJ1c2VySWQiOiIxNjkwMzUyNDc1In0=</vt:lpwstr>
  </property>
  <property fmtid="{D5CDD505-2E9C-101B-9397-08002B2CF9AE}" pid="4" name="ICV">
    <vt:lpwstr>8A5BC228A4AE4154A07B9077D49D3D1A_12</vt:lpwstr>
  </property>
</Properties>
</file>