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D9467"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洗钱交易介绍</w:t>
      </w:r>
      <w:bookmarkStart w:id="0" w:name="_GoBack"/>
      <w:bookmarkEnd w:id="0"/>
    </w:p>
    <w:p w14:paraId="6919CCE1">
      <w:r>
        <w:rPr>
          <w:rFonts w:hint="eastAsia"/>
        </w:rPr>
        <w:t>中国人民银行制定了专门的规章，当金融交易达到一定金额或符合某种可疑特征时，金融机构应向中国反洗钱监测分析中心提交大额和可疑交易报告。例如单笔或当日累计20万以上的现金存取、现金兑换、现金汇款等，或者银行帐户资金短期内分散转入、集中转出且与客户身份或经营业务明显不符。金融机构还可根据具体情况判断出涉嫌洗钱的可疑交易并上报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0D2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2026-10-14T02:15:56Z</dcterms:created>
  <dc:creator>20178</dc:creator>
  <cp:lastModifiedBy>浠</cp:lastModifiedBy>
  <dcterms:modified xsi:type="dcterms:W3CDTF">2026-10-14T02:16:13Z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eyJoZGlkIjoiMDlhYTA5MDM2MDc1ZTgzYzg4NDAzMmFkNjg3MmFjYTIiLCJ1c2VySWQiOiIxNjkwMzUyNDc1In0=</vt:lpwstr>
  </property>
  <property fmtid="{D5CDD505-2E9C-101B-9397-08002B2CF9AE}" pid="4" name="ICV">
    <vt:lpwstr>48A43A9A4CFF45458FF68FAF62D2A0C5_12</vt:lpwstr>
  </property>
</Properties>
</file>