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ที่ผู้เช่าซื้อซื้อจากผู้ให้เช่าซื้อ เป็นการซื้อขายเด็ดขาดแยกต่างหากตามใบกำกับภาษีเลขที่ ________________ ตู้ดังกล่าว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ไม่เป็นทรัพย์สินที่เช่าซื้อ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ตามสัญญานี้ และตกเป็นกรรมสิทธิ์ของผู้เช่าซื้อเมื่อชำระราคาตู้ครบถ้วน การผิดนัดหรือการเลิกสัญญาฉบับนี้ไม่กระทบกรรมสิทธิ์ในตู้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52,000.00 บาท (ห้าหมื่นสองพันบาทถ้วน) ยังไม่รวมภาษีมูลค่าเพิ่ม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เงินมัดจำ 16,000.00 บาท ชำระในวันทำสัญญา และให้ถือเป็นส่วนหนึ่งของราคาเช่าซื้อ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2,000.00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ผู้ให้เช่าซื้อจะออกใบกำกับภาษีและใบเสร็จรับเงินให้ทุกงวดที่ได้รับชำระ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วันนับจากวันที่ได้รับเงินมัดจำ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ยอมให้ผู้ให้เช่าซื้อหรือตัวแทนเข้าตรวจสภาพทรัพย์สินในเวลาทำการ โดยแจ้งล่วงหน้าไม่น้อยกว่า 3 วันทำการ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การรับประกันและวัสดุสิ้นเปลือง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[ตัวเลือก] 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6.4 นำมาจากสิทธิประโยชน์ของแผนเช่า หากไม่ให้กับเช่าซื้อให้ลบออก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______ ต่อปีของจำนวนที่ค้างชำระ นับแต่วันผิดนัดจนถึงวันชำระครบ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ถ้าไม่ระบุ ใช้อัตราตามกฎหมาย (ร้อยละ 5 ต่อปี) อัตราที่สูงเกินส่วนศาลอาจลดลงได้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และได้รับส่วนลด ______ (ระบุ หรือ "ไม่มีส่วนลด")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มัดจำ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1,120.00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17,120.00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3,640.00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55,640.00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฿52,000 (ถือว่าราคาที่ประกาศยังไม่รวม VAT) หากราคาที่ตกลงกับลูกค้ารวม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AED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2026-10-28T18:14:44.895Z</dcterms:created>
  <dcterms:modified xsi:type="dcterms:W3CDTF">2026-10-28T18:14:44.895Z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