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GC自我总结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 -XX:+UseserialGC -Xmx1024m -Xms1024m -XX:+PrintGC -XX:+PrintGCDateStamps GCLogAnalysis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 -XX:+Use parallelGC -Xmx1024m -Xms1024m -XX:+PrintGC -XX:+PrintGCDateStamps GCLogAnalysis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 -XX:+UseConcMarkSweepGC -Xmx1024m -Xms1024m -XX:+PrintGC -XX:+PrintGCDateStamps GCLogAnalysis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 -XX:+UseG1GC -Xmx1024m -Xms1024m -XX:+PrintGC -XX:+PrintGCDateStamps GCLogAnalysis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serialGC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parallelGC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CMS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G1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通过GC日志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先多次年轻代gc 后 内存不够会进行fullGC，fullGC的同时会同时触发新生代与老年代的GC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使用 CMS时候 通过修改晋升老年代的年龄参数，当适当调整大一点时候能够延缓老年代磁盘碎片化，减少fullGC次数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使用不同GC启动应用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java -XX:+UseXXXXGC -Xmx1024m -Xms1024m  -jar target/gateway-server-0.0.1-SNAPSHOT.jar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模拟压测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wrk -t8 -c100 -d30s http://localhost:8088/api/hello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 -Xmx 与-Xms 较小时 256m以下候吞吐量优先的parallelGC 反而吞吐量表现不如 CMS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 -Xmx 与-Xms 适当时候 512m 以上 parallelGC 吞吐量大于 CMS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当设置 -Xmx 与-Xms 2G~4G </w:t>
      </w:r>
      <w:r>
        <w:rPr>
          <w:rFonts w:hint="eastAsia"/>
          <w:sz w:val="28"/>
          <w:szCs w:val="28"/>
          <w:lang w:val="en-US" w:eastAsia="zh-Hans"/>
        </w:rPr>
        <w:t>并且压测时间较长</w:t>
      </w:r>
      <w:r>
        <w:rPr>
          <w:rFonts w:hint="eastAsia"/>
          <w:sz w:val="28"/>
          <w:szCs w:val="28"/>
        </w:rPr>
        <w:t>时候 G1响应延迟表现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Hans"/>
        </w:rPr>
        <w:t>以及吞吐量表现都不错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serialGC </w:t>
      </w:r>
      <w:r>
        <w:rPr>
          <w:rFonts w:hint="eastAsia"/>
          <w:lang w:val="en-US" w:eastAsia="zh-Hans"/>
        </w:rPr>
        <w:t>如图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263515" cy="680085"/>
            <wp:effectExtent l="0" t="0" r="196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43355"/>
            <wp:effectExtent l="0" t="0" r="165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parallelGC </w:t>
      </w:r>
      <w:r>
        <w:rPr>
          <w:rFonts w:hint="eastAsia"/>
          <w:lang w:val="en-US" w:eastAsia="zh-Hans"/>
        </w:rPr>
        <w:t>如图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258435" cy="683260"/>
            <wp:effectExtent l="0" t="0" r="247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225550"/>
            <wp:effectExtent l="0" t="0" r="1016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CMS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如图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55895" cy="234950"/>
            <wp:effectExtent l="0" t="0" r="190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135" cy="123253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G1 </w:t>
      </w:r>
      <w:r>
        <w:rPr>
          <w:rFonts w:hint="eastAsia"/>
          <w:lang w:val="en-US" w:eastAsia="zh-Hans"/>
        </w:rPr>
        <w:t>如图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261610" cy="297180"/>
            <wp:effectExtent l="0" t="0" r="215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712595"/>
            <wp:effectExtent l="0" t="0" r="1270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以上是部分测试截图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具体实际表现需要预热后多次测试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相关gc表现可能会根据参数的不同表现的不同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总结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实际使用时候需根据预估自己系统所需的吞吐量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或者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延时是具体要求而详细压测后进行选型即可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可根据经验如果没有特殊要求线配置经验值</w:t>
      </w:r>
      <w:bookmarkStart w:id="0" w:name="_GoBack"/>
      <w:bookmarkEnd w:id="0"/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具体根据监控指标进行进一步的调整GC或者参数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B2AD6"/>
    <w:rsid w:val="5FFF4534"/>
    <w:rsid w:val="7A5B2AD6"/>
    <w:rsid w:val="7BFFC532"/>
    <w:rsid w:val="7CFF1DDB"/>
    <w:rsid w:val="9B6E30A1"/>
    <w:rsid w:val="BBED0349"/>
    <w:rsid w:val="CBD39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2020-10-24T13:52:00Z</dcterms:created>
  <dc:creator>xingpeng</dc:creator>
  <cp:lastModifiedBy>xingpeng</cp:lastModifiedBy>
  <dcterms:modified xsi:type="dcterms:W3CDTF">2020-10-24T14:30:14Z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