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alibri" w:hAnsi="Calibri" w:cs="Calibri"/>
          <w:sz w:val="30"/>
          <w:sz-cs w:val="30"/>
          <w:spacing w:val="0"/>
        </w:rPr>
        <w:t xml:space="preserve">Attached is a feature CSV for education (defined as the percent of residents in a congressional district that has a Bachelor's degree or above). The state is identified by FIP</w:t>
      </w:r>
      <w:r>
        <w:rPr>
          <w:rFonts w:ascii="Arial" w:hAnsi="Arial" w:cs="Arial"/>
          <w:sz w:val="30"/>
          <w:sz-cs w:val="30"/>
          <w:spacing w:val="0"/>
        </w:rPr>
        <w:t xml:space="preserve">S </w:t>
      </w:r>
      <w:r>
        <w:rPr>
          <w:rFonts w:ascii="Arial" w:hAnsi="Arial" w:cs="Arial"/>
          <w:sz w:val="30"/>
          <w:sz-cs w:val="30"/>
          <w:u w:val="single" w:color="520087"/>
          <w:spacing w:val="0"/>
          <w:color w:val="520087"/>
        </w:rPr>
        <w:t xml:space="preserve">https://en.wikipedia.org/wiki/Federal_Information_Processing_Standards</w:t>
      </w:r>
      <w:r>
        <w:rPr>
          <w:rFonts w:ascii="Arial" w:hAnsi="Arial" w:cs="Arial"/>
          <w:sz w:val="30"/>
          <w:sz-cs w:val="30"/>
          <w:spacing w:val="0"/>
          <w:color w:val="0B5519"/>
        </w:rPr>
        <w:t xml:space="preserve"> </w:t>
      </w:r>
      <w:r>
        <w:rPr>
          <w:rFonts w:ascii="Arial" w:hAnsi="Arial" w:cs="Arial"/>
          <w:sz w:val="30"/>
          <w:sz-cs w:val="30"/>
          <w:spacing w:val="0"/>
        </w:rPr>
        <w:t xml:space="preserve">and the district by the district number inside a state (Due to redistricting, the same state-district pair might identify different entities across years). The data is retrieved from a combination of the decennial census and the American Community Survey (ACS), which is operated by the Census Bureau.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