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pPr>
      <w:r>
        <w:rPr>
          <w:rFonts w:ascii="Arial" w:hAnsi="Arial" w:eastAsia="Arial"/>
          <w:b w:val="0"/>
          <w:color w:val="000000"/>
          <w:sz w:val="52"/>
        </w:rPr>
        <w:t>Terminal 3 ADK Onboarding &amp; Contract Deployment</w:t>
      </w:r>
    </w:p>
    <w:p>
      <w:pPr>
        <w:pStyle w:val="SubmissionSubtitle"/>
      </w:pPr>
      <w:r>
        <w:rPr>
          <w:rFonts w:ascii="Arial" w:hAnsi="Arial" w:eastAsia="Arial"/>
          <w:color w:val="555555"/>
          <w:sz w:val="24"/>
        </w:rPr>
        <w:t>Polymarket Market-Quality Sentinel | Submission Report</w:t>
      </w:r>
    </w:p>
    <w:p>
      <w:pPr>
        <w:pStyle w:val="SubmissionMetadata"/>
      </w:pPr>
      <w:r>
        <w:rPr>
          <w:rFonts w:ascii="Arial" w:hAnsi="Arial" w:eastAsia="Arial"/>
          <w:color w:val="555555"/>
          <w:sz w:val="21"/>
        </w:rPr>
        <w:t>Participant: Jiahao (GitHub: jiahao6635) | Verified: 11 August 2026</w:t>
      </w:r>
    </w:p>
    <w:p>
      <w:pPr/>
      <w:r>
        <w:rPr>
          <w:rFonts w:ascii="Arial" w:hAnsi="Arial" w:eastAsia="Arial"/>
          <w:b/>
          <w:color w:val="000000"/>
        </w:rPr>
        <w:t xml:space="preserve">Outcome. </w:t>
      </w:r>
      <w:r>
        <w:rPr>
          <w:rFonts w:ascii="Arial" w:hAnsi="Arial" w:eastAsia="Arial"/>
          <w:color w:val="000000"/>
        </w:rPr>
        <w:t>Terminal 3 sandbox onboarding, DID authentication, TenantClient validation, custom Rust/WASM registration, and a live read-only contract invocation all completed successfully.</w:t>
      </w:r>
    </w:p>
    <w:p>
      <w:pPr>
        <w:pStyle w:val="Heading1"/>
        <w:jc w:val="left"/>
      </w:pPr>
      <w:r>
        <w:t>Submission summary</w:t>
      </w:r>
    </w:p>
    <w:p>
      <w:pPr>
        <w:spacing w:after="80"/>
      </w:pPr>
      <w:r>
        <w:rPr>
          <w:rFonts w:ascii="Arial" w:hAnsi="Arial" w:eastAsia="Arial"/>
          <w:b/>
          <w:color w:val="000000"/>
        </w:rPr>
        <w:t xml:space="preserve">DID: </w:t>
      </w:r>
      <w:r>
        <w:rPr>
          <w:rFonts w:ascii="Arial" w:hAnsi="Arial" w:eastAsia="Arial"/>
          <w:color w:val="000000"/>
        </w:rPr>
        <w:t>did:t3n:6c90567a5d037e13ae0817b22e6a6fec6630a901</w:t>
      </w:r>
    </w:p>
    <w:p>
      <w:pPr>
        <w:spacing w:after="80"/>
      </w:pPr>
      <w:r>
        <w:rPr>
          <w:rFonts w:ascii="Arial" w:hAnsi="Arial" w:eastAsia="Arial"/>
          <w:b/>
          <w:color w:val="000000"/>
        </w:rPr>
        <w:t xml:space="preserve">Contract: </w:t>
      </w:r>
      <w:r>
        <w:rPr>
          <w:rFonts w:ascii="Arial" w:hAnsi="Arial" w:eastAsia="Arial"/>
          <w:color w:val="000000"/>
        </w:rPr>
        <w:t>z:6c90567a5d037e13ae0817b22e6a6fec6630a901:pm-sentinel</w:t>
      </w:r>
    </w:p>
    <w:p>
      <w:pPr>
        <w:spacing w:after="80"/>
      </w:pPr>
      <w:r>
        <w:rPr>
          <w:rFonts w:ascii="Arial" w:hAnsi="Arial" w:eastAsia="Arial"/>
          <w:b/>
          <w:color w:val="000000"/>
        </w:rPr>
        <w:t xml:space="preserve">Contract ID: </w:t>
      </w:r>
      <w:r>
        <w:rPr>
          <w:rFonts w:ascii="Arial" w:hAnsi="Arial" w:eastAsia="Arial"/>
          <w:color w:val="000000"/>
        </w:rPr>
        <w:t>590</w:t>
      </w:r>
    </w:p>
    <w:p>
      <w:pPr>
        <w:spacing w:after="80"/>
      </w:pPr>
      <w:r>
        <w:rPr>
          <w:rFonts w:ascii="Arial" w:hAnsi="Arial" w:eastAsia="Arial"/>
          <w:b/>
          <w:color w:val="000000"/>
        </w:rPr>
        <w:t xml:space="preserve">Version: </w:t>
      </w:r>
      <w:r>
        <w:rPr>
          <w:rFonts w:ascii="Arial" w:hAnsi="Arial" w:eastAsia="Arial"/>
          <w:color w:val="000000"/>
        </w:rPr>
        <w:t>0.1.0</w:t>
      </w:r>
    </w:p>
    <w:p>
      <w:pPr>
        <w:spacing w:after="80"/>
      </w:pPr>
      <w:r>
        <w:rPr>
          <w:rFonts w:ascii="Arial" w:hAnsi="Arial" w:eastAsia="Arial"/>
          <w:b/>
          <w:color w:val="000000"/>
        </w:rPr>
        <w:t xml:space="preserve">Network: </w:t>
      </w:r>
      <w:r>
        <w:rPr>
          <w:rFonts w:ascii="Arial" w:hAnsi="Arial" w:eastAsia="Arial"/>
          <w:color w:val="000000"/>
        </w:rPr>
        <w:t>Terminal 3 sandbox</w:t>
      </w:r>
    </w:p>
    <w:p>
      <w:pPr>
        <w:spacing w:after="80"/>
      </w:pPr>
      <w:r>
        <w:rPr>
          <w:rFonts w:ascii="Arial" w:hAnsi="Arial" w:eastAsia="Arial"/>
          <w:b/>
          <w:color w:val="000000"/>
        </w:rPr>
        <w:t xml:space="preserve">Registered: </w:t>
      </w:r>
      <w:r>
        <w:rPr>
          <w:rFonts w:ascii="Arial" w:hAnsi="Arial" w:eastAsia="Arial"/>
          <w:color w:val="000000"/>
        </w:rPr>
        <w:t>2026-08-11T07:40:42.192Z</w:t>
      </w:r>
    </w:p>
    <w:p>
      <w:pPr>
        <w:spacing w:after="80"/>
      </w:pPr>
      <w:r>
        <w:rPr>
          <w:rFonts w:ascii="Arial" w:hAnsi="Arial" w:eastAsia="Arial"/>
          <w:b/>
          <w:color w:val="000000"/>
        </w:rPr>
        <w:t xml:space="preserve">Repository: </w:t>
      </w:r>
      <w:hyperlink r:id="rId9">
        <w:r>
          <w:rPr>
            <w:rFonts w:ascii="Arial" w:hAnsi="Arial" w:eastAsia="Arial"/>
            <w:color w:val="1155CC"/>
            <w:u w:val="single"/>
          </w:rPr>
          <w:t>github.com/jiahao6635/t3n-polymarket-sentinel</w:t>
        </w:r>
      </w:hyperlink>
    </w:p>
    <w:p>
      <w:pPr>
        <w:pStyle w:val="Heading1"/>
        <w:jc w:val="left"/>
      </w:pPr>
      <w:r>
        <w:t>What I built</w:t>
      </w:r>
    </w:p>
    <w:p>
      <w:pPr/>
      <w:r>
        <w:rPr>
          <w:rFonts w:ascii="Arial" w:hAnsi="Arial" w:eastAsia="Arial"/>
          <w:color w:val="000000"/>
        </w:rPr>
        <w:t>I created a custom Rust/WASM TEE contract instead of stopping at the reference project. The contract is a read-only Polymarket market-quality sentinel: it accepts normalized public market data and returns deterministic liquidity, spread, price-consistency, and activity warnings.</w:t>
      </w:r>
    </w:p>
    <w:p>
      <w:pPr/>
      <w:r>
        <w:rPr>
          <w:rFonts w:ascii="Arial" w:hAnsi="Arial" w:eastAsia="Arial"/>
          <w:color w:val="000000"/>
        </w:rPr>
        <w:t>The WASM component imports no host capabilities. It cannot access wallets, secrets, storage, external networks, or trading APIs. Public Gamma API data is fetched by the TypeScript adapter outside the contract, which keeps the deployment easy to audit and safe to demonstrate.</w:t>
      </w:r>
    </w:p>
    <w:p>
      <w:pPr>
        <w:pStyle w:val="Heading1"/>
        <w:jc w:val="left"/>
      </w:pPr>
      <w:r>
        <w:t>Completion status</w:t>
      </w:r>
    </w:p>
    <w:p>
      <w:pPr>
        <w:spacing w:after="80" w:line="276" w:lineRule="auto"/>
        <w:numPr>
          <w:ilvl w:val="0"/>
          <w:numId w:val="10"/>
        </w:numPr>
      </w:pPr>
      <w:r>
        <w:rPr>
          <w:rFonts w:ascii="Arial" w:hAnsi="Arial" w:eastAsia="Arial"/>
          <w:b/>
          <w:color w:val="000000"/>
        </w:rPr>
        <w:t>Completed:</w:t>
      </w:r>
      <w:r>
        <w:rPr>
          <w:rFonts w:ascii="Arial" w:hAnsi="Arial" w:eastAsia="Arial"/>
          <w:color w:val="000000"/>
        </w:rPr>
        <w:t xml:space="preserve"> Google SSO claim-page onboarding and one-time API-key storage outside Git.</w:t>
      </w:r>
    </w:p>
    <w:p>
      <w:pPr>
        <w:spacing w:after="80" w:line="276" w:lineRule="auto"/>
        <w:numPr>
          <w:ilvl w:val="0"/>
          <w:numId w:val="10"/>
        </w:numPr>
      </w:pPr>
      <w:r>
        <w:rPr>
          <w:rFonts w:ascii="Arial" w:hAnsi="Arial" w:eastAsia="Arial"/>
          <w:b/>
          <w:color w:val="000000"/>
        </w:rPr>
        <w:t>Completed:</w:t>
      </w:r>
      <w:r>
        <w:rPr>
          <w:rFonts w:ascii="Arial" w:hAnsi="Arial" w:eastAsia="Arial"/>
          <w:color w:val="000000"/>
        </w:rPr>
        <w:t xml:space="preserve"> DID generation and Terminal 3 sandbox authentication.</w:t>
      </w:r>
    </w:p>
    <w:p>
      <w:pPr>
        <w:spacing w:after="80" w:line="276" w:lineRule="auto"/>
        <w:numPr>
          <w:ilvl w:val="0"/>
          <w:numId w:val="10"/>
        </w:numPr>
      </w:pPr>
      <w:r>
        <w:rPr>
          <w:rFonts w:ascii="Arial" w:hAnsi="Arial" w:eastAsia="Arial"/>
          <w:b/>
          <w:color w:val="000000"/>
        </w:rPr>
        <w:t>Completed:</w:t>
      </w:r>
      <w:r>
        <w:rPr>
          <w:rFonts w:ascii="Arial" w:hAnsi="Arial" w:eastAsia="Arial"/>
          <w:color w:val="000000"/>
        </w:rPr>
        <w:t xml:space="preserve"> TenantClient validation through tenant.tenant.me().</w:t>
      </w:r>
    </w:p>
    <w:p>
      <w:pPr>
        <w:spacing w:after="80" w:line="276" w:lineRule="auto"/>
        <w:numPr>
          <w:ilvl w:val="0"/>
          <w:numId w:val="10"/>
        </w:numPr>
      </w:pPr>
      <w:r>
        <w:rPr>
          <w:rFonts w:ascii="Arial" w:hAnsi="Arial" w:eastAsia="Arial"/>
          <w:b/>
          <w:color w:val="000000"/>
        </w:rPr>
        <w:t>Completed:</w:t>
      </w:r>
      <w:r>
        <w:rPr>
          <w:rFonts w:ascii="Arial" w:hAnsi="Arial" w:eastAsia="Arial"/>
          <w:color w:val="000000"/>
        </w:rPr>
        <w:t xml:space="preserve"> Custom Rust contract, six native tests, and wasm32-wasip2 release build.</w:t>
      </w:r>
    </w:p>
    <w:p>
      <w:pPr>
        <w:spacing w:after="80" w:line="276" w:lineRule="auto"/>
        <w:numPr>
          <w:ilvl w:val="0"/>
          <w:numId w:val="10"/>
        </w:numPr>
      </w:pPr>
      <w:r>
        <w:rPr>
          <w:rFonts w:ascii="Arial" w:hAnsi="Arial" w:eastAsia="Arial"/>
          <w:b/>
          <w:color w:val="000000"/>
        </w:rPr>
        <w:t>Completed:</w:t>
      </w:r>
      <w:r>
        <w:rPr>
          <w:rFonts w:ascii="Arial" w:hAnsi="Arial" w:eastAsia="Arial"/>
          <w:color w:val="000000"/>
        </w:rPr>
        <w:t xml:space="preserve"> Registration of pm-sentinel version 0.1.0 as contract ID 590.</w:t>
      </w:r>
    </w:p>
    <w:p>
      <w:pPr>
        <w:spacing w:after="80" w:line="276" w:lineRule="auto"/>
        <w:numPr>
          <w:ilvl w:val="0"/>
          <w:numId w:val="10"/>
        </w:numPr>
      </w:pPr>
      <w:r>
        <w:rPr>
          <w:rFonts w:ascii="Arial" w:hAnsi="Arial" w:eastAsia="Arial"/>
          <w:b/>
          <w:color w:val="000000"/>
        </w:rPr>
        <w:t>Completed:</w:t>
      </w:r>
      <w:r>
        <w:rPr>
          <w:rFonts w:ascii="Arial" w:hAnsi="Arial" w:eastAsia="Arial"/>
          <w:color w:val="000000"/>
        </w:rPr>
        <w:t xml:space="preserve"> Live invocation using an active Bitcoin Polymarket market.</w:t>
      </w:r>
    </w:p>
    <w:p>
      <w:pPr>
        <w:spacing w:after="80" w:line="276" w:lineRule="auto"/>
        <w:numPr>
          <w:ilvl w:val="0"/>
          <w:numId w:val="10"/>
        </w:numPr>
      </w:pPr>
      <w:r>
        <w:rPr>
          <w:rFonts w:ascii="Arial" w:hAnsi="Arial" w:eastAsia="Arial"/>
          <w:b/>
          <w:color w:val="000000"/>
        </w:rPr>
        <w:t>Completed:</w:t>
      </w:r>
      <w:r>
        <w:rPr>
          <w:rFonts w:ascii="Arial" w:hAnsi="Arial" w:eastAsia="Arial"/>
          <w:color w:val="000000"/>
        </w:rPr>
        <w:t xml:space="preserve"> Public GitHub Actions validation for Rust and TypeScript.</w:t>
      </w:r>
    </w:p>
    <w:p>
      <w:pPr>
        <w:spacing w:after="80" w:line="276" w:lineRule="auto"/>
        <w:numPr>
          <w:ilvl w:val="0"/>
          <w:numId w:val="10"/>
        </w:numPr>
      </w:pPr>
      <w:r>
        <w:rPr>
          <w:rFonts w:ascii="Arial" w:hAnsi="Arial" w:eastAsia="Arial"/>
          <w:b/>
          <w:color w:val="000000"/>
        </w:rPr>
        <w:t>Completed:</w:t>
      </w:r>
      <w:r>
        <w:rPr>
          <w:rFonts w:ascii="Arial" w:hAnsi="Arial" w:eastAsia="Arial"/>
          <w:color w:val="000000"/>
        </w:rPr>
        <w:t xml:space="preserve"> Upstream Terminal 3 bug report and tested pull request.</w:t>
      </w:r>
    </w:p>
    <w:p>
      <w:pPr>
        <w:pStyle w:val="Heading1"/>
        <w:jc w:val="left"/>
      </w:pPr>
      <w:r>
        <w:t>Verified deployment evidence</w:t>
      </w:r>
    </w:p>
    <w:p>
      <w:pPr>
        <w:pStyle w:val="Heading2"/>
        <w:jc w:val="left"/>
      </w:pPr>
      <w:r>
        <w:t>Identity and SDK authentication</w:t>
      </w:r>
    </w:p>
    <w:p>
      <w:pPr/>
      <w:r>
        <w:rPr>
          <w:rFonts w:ascii="Arial" w:hAnsi="Arial" w:eastAsia="Arial"/>
          <w:color w:val="000000"/>
        </w:rPr>
        <w:t>The claim flow generated DID did:t3n:6c90567a5d037e13ae0817b22e6a6fec6630a901. The adapter authenticated a T3nClient with that DID, constructed a TenantClient with the active sandbox node URL, and completed tenant.tenant.me() before continuing.</w:t>
      </w:r>
    </w:p>
    <w:p>
      <w:pPr>
        <w:pStyle w:val="Heading2"/>
        <w:jc w:val="left"/>
      </w:pPr>
      <w:r>
        <w:t>Build and continuous integration</w:t>
      </w:r>
    </w:p>
    <w:p>
      <w:pPr/>
      <w:r>
        <w:rPr>
          <w:rFonts w:ascii="Arial" w:hAnsi="Arial" w:eastAsia="Arial"/>
          <w:color w:val="000000"/>
        </w:rPr>
        <w:t>Local verification passed cargo fmt, six Rust unit tests, Clippy with warnings denied, the wasm32-wasip2 release build, and TypeScript type-checking. The same checks passed publicly in GitHub Actions.</w:t>
      </w:r>
    </w:p>
    <w:p>
      <w:pPr>
        <w:spacing w:after="80"/>
      </w:pPr>
      <w:r>
        <w:rPr>
          <w:rFonts w:ascii="Arial" w:hAnsi="Arial" w:eastAsia="Arial"/>
          <w:b/>
          <w:color w:val="000000"/>
        </w:rPr>
        <w:t xml:space="preserve">CI evidence: </w:t>
      </w:r>
      <w:hyperlink r:id="rId10">
        <w:r>
          <w:rPr>
            <w:rFonts w:ascii="Arial" w:hAnsi="Arial" w:eastAsia="Arial"/>
            <w:color w:val="1155CC"/>
            <w:u w:val="single"/>
          </w:rPr>
          <w:t>GitHub Actions run 31470761322</w:t>
        </w:r>
      </w:hyperlink>
    </w:p>
    <w:p>
      <w:pPr>
        <w:pStyle w:val="Heading2"/>
        <w:jc w:val="left"/>
      </w:pPr>
      <w:r>
        <w:t>Contract registration</w:t>
      </w:r>
    </w:p>
    <w:p>
      <w:pPr/>
      <w:r>
        <w:rPr>
          <w:rFonts w:ascii="Arial" w:hAnsi="Arial" w:eastAsia="Arial"/>
          <w:color w:val="000000"/>
        </w:rPr>
        <w:t>Terminal 3 registered script z:6c90567a5d037e13ae0817b22e6a6fec6630a901:pm-sentinel, version 0.1.0, as numeric contract ID 590 at 2026-08-11T07:40:42.192Z.</w:t>
      </w:r>
    </w:p>
    <w:p>
      <w:pPr>
        <w:pStyle w:val="Heading2"/>
        <w:jc w:val="left"/>
      </w:pPr>
      <w:r>
        <w:t>Live contract invocation</w:t>
      </w:r>
    </w:p>
    <w:p>
      <w:pPr/>
      <w:r>
        <w:rPr>
          <w:rFonts w:ascii="Arial" w:hAnsi="Arial" w:eastAsia="Arial"/>
          <w:color w:val="000000"/>
        </w:rPr>
        <w:t>The invocation used market slug will-bitcoin-reach-100k-in-august-2026, an active and order-accepting market titled 'Will Bitcoin reach $100,000 in August?' with event end date 2026-09-01T04:00:00Z. The contract returned a quality score of 100, deep liquidity, and no warnings.</w:t>
      </w:r>
    </w:p>
    <w:p>
      <w:pPr>
        <w:pStyle w:val="CodeEvidence"/>
      </w:pPr>
      <w:r>
        <w:rPr>
          <w:rFonts w:ascii="Courier New" w:hAnsi="Courier New" w:eastAsia="Courier New"/>
          <w:color w:val="000000"/>
          <w:sz w:val="18"/>
        </w:rPr>
        <w:t>{</w:t>
      </w:r>
    </w:p>
    <w:p>
      <w:pPr>
        <w:pStyle w:val="CodeEvidence"/>
      </w:pPr>
      <w:r>
        <w:rPr>
          <w:rFonts w:ascii="Courier New" w:hAnsi="Courier New" w:eastAsia="Courier New"/>
          <w:color w:val="000000"/>
          <w:sz w:val="18"/>
        </w:rPr>
        <w:t xml:space="preserve">  "question": "Will Bitcoin reach $100,000 in August?",</w:t>
      </w:r>
    </w:p>
    <w:p>
      <w:pPr>
        <w:pStyle w:val="CodeEvidence"/>
      </w:pPr>
      <w:r>
        <w:rPr>
          <w:rFonts w:ascii="Courier New" w:hAnsi="Courier New" w:eastAsia="Courier New"/>
          <w:color w:val="000000"/>
          <w:sz w:val="18"/>
        </w:rPr>
        <w:t xml:space="preserve">  "normalized_prices": [0.0015, 0.9985],</w:t>
      </w:r>
    </w:p>
    <w:p>
      <w:pPr>
        <w:pStyle w:val="CodeEvidence"/>
      </w:pPr>
      <w:r>
        <w:rPr>
          <w:rFonts w:ascii="Courier New" w:hAnsi="Courier New" w:eastAsia="Courier New"/>
          <w:color w:val="000000"/>
          <w:sz w:val="18"/>
        </w:rPr>
        <w:t xml:space="preserve">  "dominant_outcome": "No",</w:t>
      </w:r>
    </w:p>
    <w:p>
      <w:pPr>
        <w:pStyle w:val="CodeEvidence"/>
      </w:pPr>
      <w:r>
        <w:rPr>
          <w:rFonts w:ascii="Courier New" w:hAnsi="Courier New" w:eastAsia="Courier New"/>
          <w:color w:val="000000"/>
          <w:sz w:val="18"/>
        </w:rPr>
        <w:t xml:space="preserve">  "dominant_probability": 0.9985,</w:t>
      </w:r>
    </w:p>
    <w:p>
      <w:pPr>
        <w:pStyle w:val="CodeEvidence"/>
      </w:pPr>
      <w:r>
        <w:rPr>
          <w:rFonts w:ascii="Courier New" w:hAnsi="Courier New" w:eastAsia="Courier New"/>
          <w:color w:val="000000"/>
          <w:sz w:val="18"/>
        </w:rPr>
        <w:t xml:space="preserve">  "liquidity_tier": "deep",</w:t>
      </w:r>
    </w:p>
    <w:p>
      <w:pPr>
        <w:pStyle w:val="CodeEvidence"/>
      </w:pPr>
      <w:r>
        <w:rPr>
          <w:rFonts w:ascii="Courier New" w:hAnsi="Courier New" w:eastAsia="Courier New"/>
          <w:color w:val="000000"/>
          <w:sz w:val="18"/>
        </w:rPr>
        <w:t xml:space="preserve">  "quality_score": 100,</w:t>
      </w:r>
    </w:p>
    <w:p>
      <w:pPr>
        <w:pStyle w:val="CodeEvidence"/>
      </w:pPr>
      <w:r>
        <w:rPr>
          <w:rFonts w:ascii="Courier New" w:hAnsi="Courier New" w:eastAsia="Courier New"/>
          <w:color w:val="000000"/>
          <w:sz w:val="18"/>
        </w:rPr>
        <w:t xml:space="preserve">  "metrics": {</w:t>
      </w:r>
    </w:p>
    <w:p>
      <w:pPr>
        <w:pStyle w:val="CodeEvidence"/>
      </w:pPr>
      <w:r>
        <w:rPr>
          <w:rFonts w:ascii="Courier New" w:hAnsi="Courier New" w:eastAsia="Courier New"/>
          <w:color w:val="000000"/>
          <w:sz w:val="18"/>
        </w:rPr>
        <w:t xml:space="preserve">    "price_sum": 1,</w:t>
      </w:r>
    </w:p>
    <w:p>
      <w:pPr>
        <w:pStyle w:val="CodeEvidence"/>
      </w:pPr>
      <w:r>
        <w:rPr>
          <w:rFonts w:ascii="Courier New" w:hAnsi="Courier New" w:eastAsia="Courier New"/>
          <w:color w:val="000000"/>
          <w:sz w:val="18"/>
        </w:rPr>
        <w:t xml:space="preserve">    "sum_deviation_bps": 0,</w:t>
      </w:r>
    </w:p>
    <w:p>
      <w:pPr>
        <w:pStyle w:val="CodeEvidence"/>
      </w:pPr>
      <w:r>
        <w:rPr>
          <w:rFonts w:ascii="Courier New" w:hAnsi="Courier New" w:eastAsia="Courier New"/>
          <w:color w:val="000000"/>
          <w:sz w:val="18"/>
        </w:rPr>
        <w:t xml:space="preserve">    "spread_bps": 10,</w:t>
      </w:r>
    </w:p>
    <w:p>
      <w:pPr>
        <w:pStyle w:val="CodeEvidence"/>
      </w:pPr>
      <w:r>
        <w:rPr>
          <w:rFonts w:ascii="Courier New" w:hAnsi="Courier New" w:eastAsia="Courier New"/>
          <w:color w:val="000000"/>
          <w:sz w:val="18"/>
        </w:rPr>
        <w:t xml:space="preserve">    "liquidity_usd": 140379.14,</w:t>
      </w:r>
    </w:p>
    <w:p>
      <w:pPr>
        <w:pStyle w:val="CodeEvidence"/>
      </w:pPr>
      <w:r>
        <w:rPr>
          <w:rFonts w:ascii="Courier New" w:hAnsi="Courier New" w:eastAsia="Courier New"/>
          <w:color w:val="000000"/>
          <w:sz w:val="18"/>
        </w:rPr>
        <w:t xml:space="preserve">    "volume_24h_usd": 33855.55,</w:t>
      </w:r>
    </w:p>
    <w:p>
      <w:pPr>
        <w:pStyle w:val="CodeEvidence"/>
      </w:pPr>
      <w:r>
        <w:rPr>
          <w:rFonts w:ascii="Courier New" w:hAnsi="Courier New" w:eastAsia="Courier New"/>
          <w:color w:val="000000"/>
          <w:sz w:val="18"/>
        </w:rPr>
        <w:t xml:space="preserve">    "activity_ratio_bps": 2412</w:t>
      </w:r>
    </w:p>
    <w:p>
      <w:pPr>
        <w:pStyle w:val="CodeEvidence"/>
      </w:pPr>
      <w:r>
        <w:rPr>
          <w:rFonts w:ascii="Courier New" w:hAnsi="Courier New" w:eastAsia="Courier New"/>
          <w:color w:val="000000"/>
          <w:sz w:val="18"/>
        </w:rPr>
        <w:t xml:space="preserve">  },</w:t>
      </w:r>
    </w:p>
    <w:p>
      <w:pPr>
        <w:pStyle w:val="CodeEvidence"/>
      </w:pPr>
      <w:r>
        <w:rPr>
          <w:rFonts w:ascii="Courier New" w:hAnsi="Courier New" w:eastAsia="Courier New"/>
          <w:color w:val="000000"/>
          <w:sz w:val="18"/>
        </w:rPr>
        <w:t xml:space="preserve">  "warnings": [],</w:t>
      </w:r>
    </w:p>
    <w:p>
      <w:pPr>
        <w:pStyle w:val="CodeEvidence"/>
      </w:pPr>
      <w:r>
        <w:rPr>
          <w:rFonts w:ascii="Courier New" w:hAnsi="Courier New" w:eastAsia="Courier New"/>
          <w:color w:val="000000"/>
          <w:sz w:val="18"/>
        </w:rPr>
        <w:t xml:space="preserve">  "disclaimer": "Data-quality screening only; not trading advice."</w:t>
      </w:r>
    </w:p>
    <w:p>
      <w:pPr>
        <w:pStyle w:val="CodeEvidence"/>
      </w:pPr>
      <w:r>
        <w:rPr>
          <w:rFonts w:ascii="Courier New" w:hAnsi="Courier New" w:eastAsia="Courier New"/>
          <w:color w:val="000000"/>
          <w:sz w:val="18"/>
        </w:rPr>
        <w:t>}</w:t>
      </w:r>
    </w:p>
    <w:p>
      <w:pPr>
        <w:pStyle w:val="Heading1"/>
        <w:jc w:val="left"/>
      </w:pPr>
      <w:r>
        <w:t>Engineering findings</w:t>
      </w:r>
    </w:p>
    <w:p>
      <w:pPr>
        <w:pStyle w:val="Heading2"/>
        <w:jc w:val="left"/>
      </w:pPr>
      <w:r>
        <w:t>A. Quickstart does not type-check against SDK 4.35.0</w:t>
      </w:r>
    </w:p>
    <w:p>
      <w:pPr/>
      <w:r>
        <w:rPr>
          <w:rFonts w:ascii="Arial" w:hAnsi="Arial" w:eastAsia="Arial"/>
          <w:b/>
          <w:color w:val="000000"/>
        </w:rPr>
        <w:t xml:space="preserve">Evidence. </w:t>
      </w:r>
      <w:r>
        <w:rPr>
          <w:rFonts w:ascii="Arial" w:hAnsi="Arial" w:eastAsia="Arial"/>
          <w:color w:val="000000"/>
        </w:rPr>
        <w:t>T3nClientConfig now requires trustAnchor, but the public Quickstart constructor omits it.</w:t>
      </w:r>
    </w:p>
    <w:p>
      <w:pPr/>
      <w:r>
        <w:rPr>
          <w:rFonts w:ascii="Arial" w:hAnsi="Arial" w:eastAsia="Arial"/>
          <w:b/>
          <w:color w:val="000000"/>
        </w:rPr>
        <w:t xml:space="preserve">Recommendation. </w:t>
      </w:r>
      <w:r>
        <w:rPr>
          <w:rFonts w:ascii="Arial" w:hAnsi="Arial" w:eastAsia="Arial"/>
          <w:color w:val="000000"/>
        </w:rPr>
        <w:t>Add the required trust-anchor field and explain that unsafe server trust is only a temporary, non-production escape hatch.</w:t>
      </w:r>
    </w:p>
    <w:p>
      <w:pPr>
        <w:pStyle w:val="Heading2"/>
        <w:jc w:val="left"/>
      </w:pPr>
      <w:r>
        <w:t>B. Development page calls a removed TenantClient method</w:t>
      </w:r>
    </w:p>
    <w:p>
      <w:pPr/>
      <w:r>
        <w:rPr>
          <w:rFonts w:ascii="Arial" w:hAnsi="Arial" w:eastAsia="Arial"/>
          <w:b/>
          <w:color w:val="000000"/>
        </w:rPr>
        <w:t xml:space="preserve">Evidence. </w:t>
      </w:r>
      <w:r>
        <w:rPr>
          <w:rFonts w:ascii="Arial" w:hAnsi="Arial" w:eastAsia="Arial"/>
          <w:color w:val="000000"/>
        </w:rPr>
        <w:t>SDK 4.35.0 exposes the operation as tenant.tenant.me(), not tenant.me(). The documented call fails during type-checking.</w:t>
      </w:r>
    </w:p>
    <w:p>
      <w:pPr/>
      <w:r>
        <w:rPr>
          <w:rFonts w:ascii="Arial" w:hAnsi="Arial" w:eastAsia="Arial"/>
          <w:b/>
          <w:color w:val="000000"/>
        </w:rPr>
        <w:t xml:space="preserve">Recommendation. </w:t>
      </w:r>
      <w:r>
        <w:rPr>
          <w:rFonts w:ascii="Arial" w:hAnsi="Arial" w:eastAsia="Arial"/>
          <w:color w:val="000000"/>
        </w:rPr>
        <w:t>Update the example and expected output to use the namespaced method.</w:t>
      </w:r>
    </w:p>
    <w:p>
      <w:pPr>
        <w:pStyle w:val="Heading2"/>
        <w:jc w:val="left"/>
      </w:pPr>
      <w:r>
        <w:t>C. Reference flight repository documentation is stale</w:t>
      </w:r>
    </w:p>
    <w:p>
      <w:pPr/>
      <w:r>
        <w:rPr>
          <w:rFonts w:ascii="Arial" w:hAnsi="Arial" w:eastAsia="Arial"/>
          <w:b/>
          <w:color w:val="000000"/>
        </w:rPr>
        <w:t xml:space="preserve">Evidence. </w:t>
      </w:r>
      <w:r>
        <w:rPr>
          <w:rFonts w:ascii="Arial" w:hAnsi="Arial" w:eastAsia="Arial"/>
          <w:color w:val="000000"/>
        </w:rPr>
        <w:t>The package is version 0.4.1, while the README previously introduced 0.3.0 and described inline passenger PII even though the current contract accepts an opaque passenger_id and uses host-resolved profile placeholders.</w:t>
      </w:r>
    </w:p>
    <w:p>
      <w:pPr/>
      <w:r>
        <w:rPr>
          <w:rFonts w:ascii="Arial" w:hAnsi="Arial" w:eastAsia="Arial"/>
          <w:b/>
          <w:color w:val="000000"/>
        </w:rPr>
        <w:t xml:space="preserve">Recommendation. </w:t>
      </w:r>
      <w:r>
        <w:rPr>
          <w:rFonts w:ascii="Arial" w:hAnsi="Arial" w:eastAsia="Arial"/>
          <w:color w:val="000000"/>
        </w:rPr>
        <w:t>Align the README, input example, host capabilities, privacy guarantee, and architecture diagram with the current source.</w:t>
      </w:r>
    </w:p>
    <w:p>
      <w:pPr>
        <w:spacing w:after="80"/>
      </w:pPr>
      <w:r>
        <w:rPr>
          <w:rFonts w:ascii="Arial" w:hAnsi="Arial" w:eastAsia="Arial"/>
          <w:b/>
          <w:color w:val="000000"/>
        </w:rPr>
        <w:t xml:space="preserve">Public issue: </w:t>
      </w:r>
      <w:hyperlink r:id="rId11">
        <w:r>
          <w:rPr>
            <w:rFonts w:ascii="Arial" w:hAnsi="Arial" w:eastAsia="Arial"/>
            <w:color w:val="1155CC"/>
            <w:u w:val="single"/>
          </w:rPr>
          <w:t>Terminal-3/z-tenant-flight issue 8</w:t>
        </w:r>
      </w:hyperlink>
    </w:p>
    <w:p>
      <w:pPr>
        <w:pStyle w:val="Heading2"/>
        <w:jc w:val="left"/>
      </w:pPr>
      <w:r>
        <w:t>D. Claim page and Quickstart use different environment names</w:t>
      </w:r>
    </w:p>
    <w:p>
      <w:pPr/>
      <w:r>
        <w:rPr>
          <w:rFonts w:ascii="Arial" w:hAnsi="Arial" w:eastAsia="Arial"/>
          <w:b/>
          <w:color w:val="000000"/>
        </w:rPr>
        <w:t xml:space="preserve">Evidence. </w:t>
      </w:r>
      <w:r>
        <w:rPr>
          <w:rFonts w:ascii="Arial" w:hAnsi="Arial" w:eastAsia="Arial"/>
          <w:color w:val="000000"/>
        </w:rPr>
        <w:t>The claim page demonstrates sandbox, while the Quickstart uses testnet. The onboarding path does not explain whether these labels share a cluster or have separate DIDs and credits.</w:t>
      </w:r>
    </w:p>
    <w:p>
      <w:pPr/>
      <w:r>
        <w:rPr>
          <w:rFonts w:ascii="Arial" w:hAnsi="Arial" w:eastAsia="Arial"/>
          <w:b/>
          <w:color w:val="000000"/>
        </w:rPr>
        <w:t xml:space="preserve">Recommendation. </w:t>
      </w:r>
      <w:r>
        <w:rPr>
          <w:rFonts w:ascii="Arial" w:hAnsi="Arial" w:eastAsia="Arial"/>
          <w:color w:val="000000"/>
        </w:rPr>
        <w:t>Use one label consistently or document the environment mapping.</w:t>
      </w:r>
    </w:p>
    <w:p>
      <w:pPr>
        <w:pStyle w:val="Heading2"/>
        <w:jc w:val="left"/>
      </w:pPr>
      <w:r>
        <w:t>E. Fresh SDK install reports a critical transitive advisory</w:t>
      </w:r>
    </w:p>
    <w:p>
      <w:pPr/>
      <w:r>
        <w:rPr>
          <w:rFonts w:ascii="Arial" w:hAnsi="Arial" w:eastAsia="Arial"/>
          <w:b/>
          <w:color w:val="000000"/>
        </w:rPr>
        <w:t xml:space="preserve">Evidence. </w:t>
      </w:r>
      <w:r>
        <w:rPr>
          <w:rFonts w:ascii="Arial" w:hAnsi="Arial" w:eastAsia="Arial"/>
          <w:color w:val="000000"/>
        </w:rPr>
        <w:t>npm audit identifies public archive-traversal advisories through decompress 4.2.1 in the componentization toolchain. No exploit attempt was made.</w:t>
      </w:r>
    </w:p>
    <w:p>
      <w:pPr/>
      <w:r>
        <w:rPr>
          <w:rFonts w:ascii="Arial" w:hAnsi="Arial" w:eastAsia="Arial"/>
          <w:b/>
          <w:color w:val="000000"/>
        </w:rPr>
        <w:t xml:space="preserve">Recommendation. </w:t>
      </w:r>
      <w:r>
        <w:rPr>
          <w:rFonts w:ascii="Arial" w:hAnsi="Arial" w:eastAsia="Arial"/>
          <w:color w:val="000000"/>
        </w:rPr>
        <w:t>Review whether build-time componentization packages must ship in the runtime dependency graph and upgrade or constrain the affected dependency where compatible.</w:t>
      </w:r>
    </w:p>
    <w:p>
      <w:pPr>
        <w:pStyle w:val="Heading2"/>
        <w:jc w:val="left"/>
      </w:pPr>
      <w:r>
        <w:t>F. Signed trust-manifest requests return HTTP 405</w:t>
      </w:r>
    </w:p>
    <w:p>
      <w:pPr/>
      <w:r>
        <w:rPr>
          <w:rFonts w:ascii="Arial" w:hAnsi="Arial" w:eastAsia="Arial"/>
          <w:b/>
          <w:color w:val="000000"/>
        </w:rPr>
        <w:t xml:space="preserve">Evidence. </w:t>
      </w:r>
      <w:r>
        <w:rPr>
          <w:rFonts w:ascii="Arial" w:hAnsi="Arial" w:eastAsia="Arial"/>
          <w:color w:val="000000"/>
        </w:rPr>
        <w:t>On 11 August 2026, fetchTrustedManifest for both sandbox and testnet called the official Singapore node endpoint and failed with 405 Method Not Allowed before handshake.</w:t>
      </w:r>
    </w:p>
    <w:p>
      <w:pPr/>
      <w:r>
        <w:rPr>
          <w:rFonts w:ascii="Arial" w:hAnsi="Arial" w:eastAsia="Arial"/>
          <w:b/>
          <w:color w:val="000000"/>
        </w:rPr>
        <w:t xml:space="preserve">Recommendation. </w:t>
      </w:r>
      <w:r>
        <w:rPr>
          <w:rFonts w:ascii="Arial" w:hAnsi="Arial" w:eastAsia="Arial"/>
          <w:color w:val="000000"/>
        </w:rPr>
        <w:t>Fix or publish the signed manifest endpoint before requiring trustAnchor, and update the Quickstart with a fail-closed example.</w:t>
      </w:r>
    </w:p>
    <w:p>
      <w:pPr>
        <w:pStyle w:val="CodeEvidence"/>
      </w:pPr>
      <w:r>
        <w:rPr>
          <w:rFonts w:ascii="Courier New" w:hAnsi="Courier New" w:eastAsia="Courier New"/>
          <w:color w:val="000000"/>
          <w:sz w:val="18"/>
        </w:rPr>
        <w:t>Trust manifest request to https://cn-api.sg.testnet.t3n.terminal3.io/api/trust-manifest</w:t>
      </w:r>
    </w:p>
    <w:p>
      <w:pPr>
        <w:pStyle w:val="CodeEvidence"/>
      </w:pPr>
      <w:r>
        <w:rPr>
          <w:rFonts w:ascii="Courier New" w:hAnsi="Courier New" w:eastAsia="Courier New"/>
          <w:color w:val="000000"/>
          <w:sz w:val="18"/>
        </w:rPr>
        <w:t>failed: 405 Method Not Allowed</w:t>
      </w:r>
    </w:p>
    <w:p>
      <w:pPr>
        <w:pStyle w:val="Heading1"/>
        <w:jc w:val="left"/>
      </w:pPr>
      <w:r>
        <w:t>Upstream contribution</w:t>
      </w:r>
    </w:p>
    <w:p>
      <w:pPr/>
      <w:r>
        <w:rPr>
          <w:rFonts w:ascii="Arial" w:hAnsi="Arial" w:eastAsia="Arial"/>
          <w:color w:val="000000"/>
        </w:rPr>
        <w:t>I submitted a compatibility fix that normalizes both the public-documentation DID text shape and the bundled WIT raw 20-byte CompactDid shape before building the tenant secrets-map path. The patch reuses one helper in both flight operations and adds native regression coverage.</w:t>
      </w:r>
    </w:p>
    <w:p>
      <w:pPr>
        <w:spacing w:after="80"/>
      </w:pPr>
      <w:r>
        <w:rPr>
          <w:rFonts w:ascii="Arial" w:hAnsi="Arial" w:eastAsia="Arial"/>
          <w:b/>
          <w:color w:val="000000"/>
        </w:rPr>
        <w:t xml:space="preserve">Pull request: </w:t>
      </w:r>
      <w:hyperlink r:id="rId12">
        <w:r>
          <w:rPr>
            <w:rFonts w:ascii="Arial" w:hAnsi="Arial" w:eastAsia="Arial"/>
            <w:color w:val="1155CC"/>
            <w:u w:val="single"/>
          </w:rPr>
          <w:t>Terminal-3/z-tenant-flight PR 9</w:t>
        </w:r>
      </w:hyperlink>
    </w:p>
    <w:p>
      <w:pPr>
        <w:spacing w:after="80" w:line="276" w:lineRule="auto"/>
        <w:numPr>
          <w:ilvl w:val="0"/>
          <w:numId w:val="10"/>
        </w:numPr>
      </w:pPr>
      <w:r>
        <w:rPr>
          <w:rFonts w:ascii="Arial" w:hAnsi="Arial" w:eastAsia="Arial"/>
          <w:color w:val="000000"/>
        </w:rPr>
        <w:t>11 native unit tests passed.</w:t>
      </w:r>
    </w:p>
    <w:p>
      <w:pPr>
        <w:spacing w:after="80" w:line="276" w:lineRule="auto"/>
        <w:numPr>
          <w:ilvl w:val="0"/>
          <w:numId w:val="10"/>
        </w:numPr>
      </w:pPr>
      <w:r>
        <w:rPr>
          <w:rFonts w:ascii="Arial" w:hAnsi="Arial" w:eastAsia="Arial"/>
          <w:color w:val="000000"/>
        </w:rPr>
        <w:t>Clippy passed with warnings denied.</w:t>
      </w:r>
    </w:p>
    <w:p>
      <w:pPr>
        <w:spacing w:after="80" w:line="276" w:lineRule="auto"/>
        <w:numPr>
          <w:ilvl w:val="0"/>
          <w:numId w:val="10"/>
        </w:numPr>
      </w:pPr>
      <w:r>
        <w:rPr>
          <w:rFonts w:ascii="Arial" w:hAnsi="Arial" w:eastAsia="Arial"/>
          <w:color w:val="000000"/>
        </w:rPr>
        <w:t>The wasm32-wasip2 release build passed.</w:t>
      </w:r>
    </w:p>
    <w:p>
      <w:pPr>
        <w:spacing w:after="80" w:line="276" w:lineRule="auto"/>
        <w:numPr>
          <w:ilvl w:val="0"/>
          <w:numId w:val="10"/>
        </w:numPr>
      </w:pPr>
      <w:r>
        <w:rPr>
          <w:rFonts w:ascii="Arial" w:hAnsi="Arial" w:eastAsia="Arial"/>
          <w:color w:val="000000"/>
        </w:rPr>
        <w:t>The pull request is open and awaiting maintainer review.</w:t>
      </w:r>
    </w:p>
    <w:p>
      <w:pPr>
        <w:pStyle w:val="Heading1"/>
        <w:jc w:val="left"/>
      </w:pPr>
      <w:r>
        <w:t>Safety and limitations</w:t>
      </w:r>
    </w:p>
    <w:p>
      <w:pPr>
        <w:spacing w:after="80" w:line="276" w:lineRule="auto"/>
        <w:numPr>
          <w:ilvl w:val="0"/>
          <w:numId w:val="10"/>
        </w:numPr>
      </w:pPr>
      <w:r>
        <w:rPr>
          <w:rFonts w:ascii="Arial" w:hAnsi="Arial" w:eastAsia="Arial"/>
          <w:color w:val="000000"/>
        </w:rPr>
        <w:t>No mainnet transaction, wallet connection, deposit, order, or wager was made.</w:t>
      </w:r>
    </w:p>
    <w:p>
      <w:pPr>
        <w:spacing w:after="80" w:line="276" w:lineRule="auto"/>
        <w:numPr>
          <w:ilvl w:val="0"/>
          <w:numId w:val="10"/>
        </w:numPr>
      </w:pPr>
      <w:r>
        <w:rPr>
          <w:rFonts w:ascii="Arial" w:hAnsi="Arial" w:eastAsia="Arial"/>
          <w:color w:val="000000"/>
        </w:rPr>
        <w:t>The Polymarket integration is read-only and uses only public Gamma API fields.</w:t>
      </w:r>
    </w:p>
    <w:p>
      <w:pPr>
        <w:spacing w:after="80" w:line="276" w:lineRule="auto"/>
        <w:numPr>
          <w:ilvl w:val="0"/>
          <w:numId w:val="10"/>
        </w:numPr>
      </w:pPr>
      <w:r>
        <w:rPr>
          <w:rFonts w:ascii="Arial" w:hAnsi="Arial" w:eastAsia="Arial"/>
          <w:color w:val="000000"/>
        </w:rPr>
        <w:t>The score is a deterministic data-quality heuristic, not a price forecast or trading advice.</w:t>
      </w:r>
    </w:p>
    <w:p>
      <w:pPr>
        <w:spacing w:after="80" w:line="276" w:lineRule="auto"/>
        <w:numPr>
          <w:ilvl w:val="0"/>
          <w:numId w:val="10"/>
        </w:numPr>
      </w:pPr>
      <w:r>
        <w:rPr>
          <w:rFonts w:ascii="Arial" w:hAnsi="Arial" w:eastAsia="Arial"/>
          <w:color w:val="000000"/>
        </w:rPr>
        <w:t>T3N_UNSAFE_TRUST_SERVER=1 was used only in Terminal 3 sandbox after explicit authorization because the signed manifest endpoint returned HTTP 405.</w:t>
      </w:r>
    </w:p>
    <w:p>
      <w:pPr>
        <w:spacing w:after="80" w:line="276" w:lineRule="auto"/>
        <w:numPr>
          <w:ilvl w:val="0"/>
          <w:numId w:val="10"/>
        </w:numPr>
      </w:pPr>
      <w:r>
        <w:rPr>
          <w:rFonts w:ascii="Arial" w:hAnsi="Arial" w:eastAsia="Arial"/>
          <w:color w:val="000000"/>
        </w:rPr>
        <w:t>The adapter refuses unsafe trust when T3N_ENV=production.</w:t>
      </w:r>
    </w:p>
    <w:p>
      <w:pPr>
        <w:spacing w:after="80" w:line="276" w:lineRule="auto"/>
        <w:numPr>
          <w:ilvl w:val="0"/>
          <w:numId w:val="10"/>
        </w:numPr>
      </w:pPr>
      <w:r>
        <w:rPr>
          <w:rFonts w:ascii="Arial" w:hAnsi="Arial" w:eastAsia="Arial"/>
          <w:color w:val="000000"/>
        </w:rPr>
        <w:t>The one-time Terminal 3 API key remains in a local Git-ignored file and is not included here.</w:t>
      </w:r>
    </w:p>
    <w:p>
      <w:pPr>
        <w:pStyle w:val="Heading1"/>
        <w:jc w:val="left"/>
      </w:pPr>
      <w:r>
        <w:t>Final participant actions</w:t>
      </w:r>
    </w:p>
    <w:p>
      <w:pPr>
        <w:spacing w:after="80" w:line="276" w:lineRule="auto"/>
        <w:numPr>
          <w:ilvl w:val="0"/>
          <w:numId w:val="10"/>
        </w:numPr>
      </w:pPr>
      <w:r>
        <w:rPr>
          <w:rFonts w:ascii="Arial" w:hAnsi="Arial" w:eastAsia="Arial"/>
          <w:color w:val="000000"/>
        </w:rPr>
        <w:t>Leave the one-time API-key success view before capturing any claim-page evidence.</w:t>
      </w:r>
    </w:p>
    <w:p>
      <w:pPr>
        <w:spacing w:after="80" w:line="276" w:lineRule="auto"/>
        <w:numPr>
          <w:ilvl w:val="0"/>
          <w:numId w:val="10"/>
        </w:numPr>
      </w:pPr>
      <w:r>
        <w:rPr>
          <w:rFonts w:ascii="Arial" w:hAnsi="Arial" w:eastAsia="Arial"/>
          <w:color w:val="000000"/>
        </w:rPr>
        <w:t>Optionally attach a redacted screenshot showing claim success and DID, with the API key fully hidden.</w:t>
      </w:r>
    </w:p>
    <w:p>
      <w:pPr>
        <w:spacing w:after="80" w:line="276" w:lineRule="auto"/>
        <w:numPr>
          <w:ilvl w:val="0"/>
          <w:numId w:val="10"/>
        </w:numPr>
      </w:pPr>
      <w:r>
        <w:rPr>
          <w:rFonts w:ascii="Arial" w:hAnsi="Arial" w:eastAsia="Arial"/>
          <w:color w:val="000000"/>
        </w:rPr>
        <w:t>Review the final bounty text and submit it personally because the listing is marked HUMAN_ONLY.</w:t>
      </w:r>
    </w:p>
    <w:p>
      <w:pPr>
        <w:spacing w:after="80" w:line="276" w:lineRule="auto"/>
        <w:numPr>
          <w:ilvl w:val="0"/>
          <w:numId w:val="10"/>
        </w:numPr>
      </w:pPr>
      <w:r>
        <w:rPr>
          <w:rFonts w:ascii="Arial" w:hAnsi="Arial" w:eastAsia="Arial"/>
          <w:color w:val="000000"/>
        </w:rPr>
        <w:t>Use the DID and repository links above in the submission form.</w:t>
      </w:r>
    </w:p>
    <w:p>
      <w:pPr>
        <w:pStyle w:val="Heading1"/>
        <w:jc w:val="left"/>
      </w:pPr>
      <w:r>
        <w:t>Sources</w:t>
      </w:r>
    </w:p>
    <w:p>
      <w:pPr>
        <w:spacing w:after="80"/>
        <w:numPr>
          <w:ilvl w:val="0"/>
          <w:numId w:val="10"/>
        </w:numPr>
      </w:pPr>
      <w:r>
        <w:rPr>
          <w:rFonts w:ascii="Arial" w:hAnsi="Arial" w:eastAsia="Arial"/>
          <w:b/>
          <w:color w:val="000000"/>
        </w:rPr>
        <w:t xml:space="preserve">Project repository: </w:t>
      </w:r>
      <w:hyperlink r:id="rId9">
        <w:r>
          <w:rPr>
            <w:rFonts w:ascii="Arial" w:hAnsi="Arial" w:eastAsia="Arial"/>
            <w:color w:val="1155CC"/>
            <w:u w:val="single"/>
          </w:rPr>
          <w:t>Open the GitHub repository</w:t>
        </w:r>
      </w:hyperlink>
    </w:p>
    <w:p>
      <w:pPr>
        <w:spacing w:after="80"/>
        <w:numPr>
          <w:ilvl w:val="0"/>
          <w:numId w:val="10"/>
        </w:numPr>
      </w:pPr>
      <w:r>
        <w:rPr>
          <w:rFonts w:ascii="Arial" w:hAnsi="Arial" w:eastAsia="Arial"/>
          <w:b/>
          <w:color w:val="000000"/>
        </w:rPr>
        <w:t xml:space="preserve">Verified CI run: </w:t>
      </w:r>
      <w:hyperlink r:id="rId10">
        <w:r>
          <w:rPr>
            <w:rFonts w:ascii="Arial" w:hAnsi="Arial" w:eastAsia="Arial"/>
            <w:color w:val="1155CC"/>
            <w:u w:val="single"/>
          </w:rPr>
          <w:t>Open GitHub Actions run 31470761322</w:t>
        </w:r>
      </w:hyperlink>
    </w:p>
    <w:p>
      <w:pPr>
        <w:spacing w:after="80"/>
        <w:numPr>
          <w:ilvl w:val="0"/>
          <w:numId w:val="10"/>
        </w:numPr>
      </w:pPr>
      <w:r>
        <w:rPr>
          <w:rFonts w:ascii="Arial" w:hAnsi="Arial" w:eastAsia="Arial"/>
          <w:b/>
          <w:color w:val="000000"/>
        </w:rPr>
        <w:t xml:space="preserve">Terminal 3 issue 8: </w:t>
      </w:r>
      <w:hyperlink r:id="rId11">
        <w:r>
          <w:rPr>
            <w:rFonts w:ascii="Arial" w:hAnsi="Arial" w:eastAsia="Arial"/>
            <w:color w:val="1155CC"/>
            <w:u w:val="single"/>
          </w:rPr>
          <w:t>Open the public bug report</w:t>
        </w:r>
      </w:hyperlink>
    </w:p>
    <w:p>
      <w:pPr>
        <w:spacing w:after="80"/>
        <w:numPr>
          <w:ilvl w:val="0"/>
          <w:numId w:val="10"/>
        </w:numPr>
      </w:pPr>
      <w:r>
        <w:rPr>
          <w:rFonts w:ascii="Arial" w:hAnsi="Arial" w:eastAsia="Arial"/>
          <w:b/>
          <w:color w:val="000000"/>
        </w:rPr>
        <w:t xml:space="preserve">Terminal 3 pull request 9: </w:t>
      </w:r>
      <w:hyperlink r:id="rId12">
        <w:r>
          <w:rPr>
            <w:rFonts w:ascii="Arial" w:hAnsi="Arial" w:eastAsia="Arial"/>
            <w:color w:val="1155CC"/>
            <w:u w:val="single"/>
          </w:rPr>
          <w:t>Open the upstream pull request</w:t>
        </w:r>
      </w:hyperlink>
    </w:p>
    <w:p>
      <w:pPr>
        <w:spacing w:after="80"/>
        <w:numPr>
          <w:ilvl w:val="0"/>
          <w:numId w:val="10"/>
        </w:numPr>
      </w:pPr>
      <w:r>
        <w:rPr>
          <w:rFonts w:ascii="Arial" w:hAnsi="Arial" w:eastAsia="Arial"/>
          <w:b/>
          <w:color w:val="000000"/>
        </w:rPr>
        <w:t xml:space="preserve">Polymarket Gamma market record: </w:t>
      </w:r>
      <w:hyperlink r:id="rId13">
        <w:r>
          <w:rPr>
            <w:rFonts w:ascii="Arial" w:hAnsi="Arial" w:eastAsia="Arial"/>
            <w:color w:val="1155CC"/>
            <w:u w:val="single"/>
          </w:rPr>
          <w:t>Open the public market record</w:t>
        </w:r>
      </w:hyperlink>
    </w:p>
    <w:p>
      <w:pPr>
        <w:spacing w:after="80"/>
        <w:numPr>
          <w:ilvl w:val="0"/>
          <w:numId w:val="10"/>
        </w:numPr>
      </w:pPr>
      <w:r>
        <w:rPr>
          <w:rFonts w:ascii="Arial" w:hAnsi="Arial" w:eastAsia="Arial"/>
          <w:b/>
          <w:color w:val="000000"/>
        </w:rPr>
        <w:t xml:space="preserve">Terminal 3 common integration errors: </w:t>
      </w:r>
      <w:hyperlink r:id="rId14">
        <w:r>
          <w:rPr>
            <w:rFonts w:ascii="Arial" w:hAnsi="Arial" w:eastAsia="Arial"/>
            <w:color w:val="1155CC"/>
            <w:u w:val="single"/>
          </w:rPr>
          <w:t>Open the integration guide</w:t>
        </w:r>
      </w:hyperlink>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Arial" w:hAnsi="Arial" w:eastAsia="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60" w:line="276" w:lineRule="auto"/>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widowControl/>
      <w:spacing w:before="320" w:after="80" w:line="276" w:lineRule="auto"/>
      <w:outlineLvl w:val="2"/>
    </w:pPr>
    <w:rPr>
      <w:rFonts w:asciiTheme="majorHAnsi" w:eastAsiaTheme="majorEastAsia" w:hAnsiTheme="majorHAnsi" w:cstheme="majorBidi" w:ascii="Arial" w:hAnsi="Arial" w:eastAsia="Arial"/>
      <w:b w:val="0"/>
      <w:bCs/>
      <w:color w:val="55555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missionSubtitle">
    <w:name w:val="Submission Subtitle"/>
    <w:pPr>
      <w:keepNext w:val="0"/>
      <w:widowControl/>
      <w:spacing w:before="0" w:after="240" w:line="276" w:lineRule="auto"/>
    </w:pPr>
    <w:rPr>
      <w:rFonts w:ascii="Arial" w:hAnsi="Arial" w:eastAsia="Arial"/>
      <w:b w:val="0"/>
      <w:color w:val="555555"/>
      <w:sz w:val="24"/>
    </w:rPr>
  </w:style>
  <w:style w:type="paragraph" w:customStyle="1" w:styleId="SubmissionMetadata">
    <w:name w:val="Submission Metadata"/>
    <w:pPr>
      <w:keepNext w:val="0"/>
      <w:widowControl/>
      <w:spacing w:before="0" w:after="60" w:line="276" w:lineRule="auto"/>
    </w:pPr>
    <w:rPr>
      <w:rFonts w:ascii="Arial" w:hAnsi="Arial" w:eastAsia="Arial"/>
      <w:b w:val="0"/>
      <w:color w:val="555555"/>
      <w:sz w:val="21"/>
    </w:rPr>
  </w:style>
  <w:style w:type="paragraph" w:customStyle="1" w:styleId="CodeEvidence">
    <w:name w:val="Code Evidence"/>
    <w:pPr>
      <w:widowControl w:val="0"/>
      <w:spacing w:before="0" w:after="0" w:line="240" w:lineRule="auto"/>
      <w:ind w:left="360"/>
    </w:pPr>
    <w:rPr>
      <w:rFonts w:ascii="Courier New" w:hAnsi="Courier New"/>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jiahao6635/t3n-polymarket-sentinel" TargetMode="External"/><Relationship Id="rId10" Type="http://schemas.openxmlformats.org/officeDocument/2006/relationships/hyperlink" Target="https://github.com/jiahao6635/t3n-polymarket-sentinel/actions/runs/31470761322" TargetMode="External"/><Relationship Id="rId11" Type="http://schemas.openxmlformats.org/officeDocument/2006/relationships/hyperlink" Target="https://github.com/Terminal-3/z-tenant-flight/issues/8" TargetMode="External"/><Relationship Id="rId12" Type="http://schemas.openxmlformats.org/officeDocument/2006/relationships/hyperlink" Target="https://github.com/Terminal-3/z-tenant-flight/pull/9" TargetMode="External"/><Relationship Id="rId13" Type="http://schemas.openxmlformats.org/officeDocument/2006/relationships/hyperlink" Target="https://gamma-api.polymarket.com/markets?slug=will-bitcoin-reach-100k-in-august-2026" TargetMode="External"/><Relationship Id="rId14" Type="http://schemas.openxmlformats.org/officeDocument/2006/relationships/hyperlink" Target="https://docs.terminal3.io/developers/adk/tips/common-err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Terminal 3 ADK Onboarding and Contract Deployment</dc:title>
  <dc:subject>Polymarket Market-Quality Sentinel submission report</dc:subject>
  <dc:creator>Jiahao</dc:creator>
  <cp:keywords>Terminal 3, ADK, Rust, WASM, Polymarket</cp:keywords>
  <dc:description>generated by python-docx</dc:description>
  <cp:lastModifiedBy/>
  <cp:revision>1</cp:revision>
  <dcterms:created xsi:type="dcterms:W3CDTF">2013-12-23T23:15:00Z</dcterms:created>
  <dcterms:modified xsi:type="dcterms:W3CDTF">2013-12-23T23:15:00Z</dcterms:modified>
  <cp:category/>
</cp:coreProperties>
</file>