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C716/C716 Pro码表固件PRD-内容综述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color w:val="de7802"/>
          <w:sz w:val="36"/>
        </w:rPr>
        <w:t>概述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项目背景：简述为什么要启动这个项目/版本，解决什么行业痛点/内部需求（一般是新项目）以及用户痛点与体验改进（一般是迭代版本）。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适用人群：明确“谁”在用产品，以及他们的痛点。（严格套用 6 层人群模型）；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核心价值：明确针对目标用户的核心价值点，确保内部理解优先级、目标一致；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硬件约束：明确产品的一些关键硬件参数，让项目组成员在项目初期对于产品形态有一定的概念；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实施目标（效果、时间、版本要求等）：对于上线/上市时间，版本完成度等要求；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color w:val="245bdb"/>
          <w:sz w:val="28"/>
        </w:rPr>
        <w:t>项目背景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为支撑品牌升级战略，满足职业车队赞助需求，并切入L1职业、L2竞技、L3专业入门三层高价值用户市场，决定基于全新高性能技术平台，研发具备极致性能与专业体验的新一代码表 C716/C716 Pro，补齐现有产品线在高阶市场的空白，提升品牌在专业骑行领域的技术壁垒与影响力。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color w:val="245bdb"/>
          <w:sz w:val="28"/>
        </w:rPr>
        <w:t>适用人群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6 层人群模型</w:t>
            </w:r>
          </w:p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2680"/>
              <w:gridCol w:w="2680"/>
              <w:gridCol w:w="2680"/>
            </w:tblGrid>
            <w:tr>
              <w:tc>
                <w:tcPr>
                  <w:tcW w:w="26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1543050" cy="866775"/>
                        <wp:docPr id="0" name="Drawing 0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43050" cy="86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1543050" cy="876300"/>
                        <wp:docPr id="1" name="Drawing 1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4305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1543050" cy="847725"/>
                        <wp:docPr id="2" name="Drawing 2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43050" cy="847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C716目标 L3；C716 Pro 目标 L2、L3，兼顾 L3；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10"/>
        <w:gridCol w:w="1170"/>
        <w:gridCol w:w="6585"/>
      </w:tblGrid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层级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人群定位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核心痛点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L1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职业选手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对数据精度、设备可靠性、赛事环境下抗干扰能力要求极高；需要深度数据分析与多设备联动；设备任何异常都会影响训练与比赛表现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L2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竞技型骑手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高强度训练与比赛中使用，追求数据全面性、响应速度与设备稳定性；有功率计、心率带、雷达等多种外设接入需求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L3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专业入门、骑行爱好者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开始系统化训练，重视训练效果与数据科学性，关注设备易用性与扩展性，希望获得“职业级体验”但预算与操作门槛需适度控制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color w:val="245bdb"/>
          <w:sz w:val="28"/>
        </w:rPr>
        <w:t>核心价值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10"/>
        <w:gridCol w:w="1170"/>
        <w:gridCol w:w="5265"/>
        <w:gridCol w:w="630"/>
        <w:gridCol w:w="705"/>
      </w:tblGrid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简单描述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C716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C716 Pro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猎鹰高精数据算法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基于新一代算法引擎，实现海拔、坡度、爬升等关键地形数据的更高精度采集与计算，在专业训练与比赛中提供更可靠的数据基础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AI意图导航（AI 专项）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支持语音自定义导航条件，AI智能规划符合骑行意图的路线，提升导航效率与路线合理性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精品路书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支持路线中集成商店、卫生间、补给点等关键兴趣点，码表端做展示和提醒，提升长途与陌生路线骑行的便利性与安全感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战术路书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支持在路 线中标注冲刺点、单飞段、危险路段等战术信息，码表端做展示和提醒，满足竞技与训练场景下的精细化路线规划需求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❌️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超丝滑地图操控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地图滑动与缩放达到60Hz高刷新率，提供流畅、跟手的交互体验，满足高强度骑行中对地图操作的即时性要求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语音控制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支持通过语音指令完成功率计校准、前灯/雷达开关、爬坡规划、赛段启停等关键操作，提升骑行中的安全性与操作便捷性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AI码表设置（AI 专项）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通过APP端语音对话或文字输入，智能完成表盘布局、智联指令配置、骑行场景预设等个性化设置，降低专业设备的配置门槛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AI高光时刻（AI 专项）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自动识别骑行记录中的关键数据与精彩片段，一键生成高光时刻图文内容，便于社交分享与训练回顾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导航高程全览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导航过程中可随时查看全程海拔趋势图，帮助用户合理分配体能，提前预判地形变化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隧道惯导追踪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在隧道等GPS信号丢失场景下，通过惯性导航或其他方案持续输出实时速度与平滑轨迹，保障数据连续性与训练记录完整性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❌️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竞赛模式（场景）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提供独立的骑行场景配置，支持按竞赛需求独立设置数据页、功能界面与交互逻辑，避免日常设置干扰比赛使用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❌️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训练日历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将训练计划同步至码表端，支持当日训练内容、目标与完成情况实时查看，提升训练执行与计划闭环效率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❌️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✅️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color w:val="245bdb"/>
          <w:sz w:val="28"/>
        </w:rPr>
        <w:t>硬件约束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15"/>
        <w:gridCol w:w="1065"/>
        <w:gridCol w:w="3240"/>
        <w:gridCol w:w="3345"/>
      </w:tblGrid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C716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C716 Pro</w:t>
            </w:r>
          </w:p>
        </w:tc>
      </w:tr>
      <w:tr>
        <w:tc>
          <w:tcPr>
            <w:tcW w:w="6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屏幕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屏幕尺寸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3.3英寸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3.3英寸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分辨率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320*480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320*480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刷新率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60Hz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60Hz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屏幕类型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全透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全透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屏幕本体最大亮度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1000nit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1000nit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触控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■单指触控 ■双指手势 □多指手势 □流水触控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■单指触控 ■双指手势 □多指手势 □流水触控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玻璃硬度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6H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6H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玻璃防眩光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✗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✗</w:t>
            </w:r>
          </w:p>
        </w:tc>
      </w:tr>
      <w:tr>
        <w:tc>
          <w:tcPr>
            <w:tcW w:w="6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芯片传感器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主从芯片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海思3322，Nordic52832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海思3322，Nordic52832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无线协议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BLE：5.2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ANT+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蓝牙热点，速率：100KB/S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BLE：5.2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ANT+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蓝牙热点，速率：100KB/S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定位芯片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洛达3335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洛达3335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存储空间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16M+512M（待定，可能 128M）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16M+64G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陀螺仪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✗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待定，验证隧道方案中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加速度计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✓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✓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气压温度计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✓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✓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地磁传感器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✓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✓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光线传感器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✓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✓</w:t>
            </w:r>
          </w:p>
        </w:tc>
      </w:tr>
      <w:tr>
        <w:tc>
          <w:tcPr>
            <w:tcW w:w="6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电池和充电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电量计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✓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✓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充电口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Type-C 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Type-C ，■数据传输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电池容量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TBD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TBD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充电时间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2.5h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2.5h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续航时间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20h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20h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可拆电池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✓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✓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出厂电量存储时间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360day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360day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蓝牙外设传感器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■前灯 ■尾灯 ■雷达尾灯 ■心率带 ■踏频器 ■速度计 ■速度&amp;踏频 ■功率计 □骑行台 ■电变 ■耳机 □对讲机 ■大疆相机 ■影石相机 ■核心温度计 □E-bike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■前灯 ■尾灯 ■雷达尾灯 ■心率带 ■踏频器 ■速度计 ■速度&amp;踏频 ■功率计 □骑行台 ■电变 ■耳机 □对讲机 ■大疆相机 ■影石相机 ■核心温度计 □E-bike</w:t>
            </w:r>
          </w:p>
        </w:tc>
      </w:tr>
      <w:tr>
        <w:tc>
          <w:tcPr>
            <w:tcW w:w="6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结构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卡扣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金属卡扣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金属卡扣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防水等级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IPX7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IPX7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整机厚度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≤16mm不含卡扣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≤16mm不含卡扣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侧边框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AA区—玻璃边缘，≤4mm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AA区—玻璃边缘，≤4mm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整机重量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≤110g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≤110g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跌落高度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1.5m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1.5m</w:t>
            </w:r>
          </w:p>
        </w:tc>
      </w:tr>
      <w:tr>
        <w:tc>
          <w:tcPr>
            <w:tcW w:w="6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交互方式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机身按键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按键数量：4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按键位置：左上 1，右下 1，底部左侧 1，底部右侧 1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按键数量：4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按键位置：左上 1，右下 1，底部左侧 1，底部右侧 1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麦克风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单mic，云端降噪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单mic，云端降噪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声音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扬声器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扬声器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屏幕灯（在玻璃盖板上）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✗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✗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机身灯（在壳体上）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✗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color w:val="245bdb"/>
          <w:sz w:val="28"/>
        </w:rPr>
        <w:t>实施目标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量产时间：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海外预期 2027 年 3 月底量产大货，同步启动职业车队测试；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国内预期 2027 年 6 月底量产大货；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版本完成度：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海外发布版V3.4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国内发布版V3.5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质量目标：通过职业车队实地测试，稳定性达赛事级标准；量产版本故障率控制在行业领先水平；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市场目标：支撑品牌在L1-L3层级用户中实现显著渗透，成为职业车队合作首选设备之一；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color w:val="de7802"/>
          <w:sz w:val="36"/>
        </w:rPr>
        <w:t>修订记录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PRD 宣讲后，每一次变化，都应该被记录。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面向 UE/UI 需求导入澄清时，版本号 0.1；PRD 宣讲时，版本号 1.0；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需求补充/修正：需求逻辑、目标无变化，对约束条件、边界、异常情况以及关联需求关系进行补充描述；此外研发在实施过程中发现漏洞/实施成本较高，在满足目标的情况下，修正需求要求，也需要进行记录和说明；每次变更版本号增加 0.1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需求变更：新增/删除需求，因市场变化、用户需求变化、竞争格局变化、技术限制或突破等因素，需求发生重大变化产生的新增、删除、调整称之为需求变更；在拉通相关方评审后 PRD 中需要记录和说明；每次变更版本号增加 1.0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26" style="width:414pt;height:135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color w:val="de7802"/>
          <w:sz w:val="36"/>
        </w:rPr>
        <w:t>相关文档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此项目或此迭代关联的相关文档，需要确保每个关联的文档可以被打开、信息传递无误；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PV/TV 版本规划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固件软件版本规划：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26年固件规划-1206</w:t>
              </w:r>
            </w:hyperlink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功能细拆表：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功能表-持续更新0226</w:t>
              </w:r>
            </w:hyperlink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color w:val="de7802"/>
          <w:sz w:val="36"/>
        </w:rPr>
        <w:t>版本指路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4200"/>
        <w:gridCol w:w="307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版本概述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PRD 链接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PV3.0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PV 3.0——基础技术验证与架构搭建（3月–4月）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核心目标</w:t>
            </w:r>
            <w:r>
              <w:rPr>
                <w:rFonts w:eastAsia="等线" w:ascii="Arial" w:cs="Arial" w:hAnsi="Arial"/>
                <w:sz w:val="22"/>
              </w:rPr>
              <w:t>：提前启动关键技术验证，为后续功能开发奠定基础。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</w:t>
            </w:r>
            <w:r>
              <w:rPr>
                <w:rFonts w:eastAsia="等线" w:ascii="Arial" w:cs="Arial" w:hAnsi="Arial"/>
                <w:sz w:val="22"/>
              </w:rPr>
              <w:t>：通过模拟器完成通用组件、页面架构、弹窗与表盘组件的验证，确保交互基础能力可用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后端</w:t>
            </w:r>
            <w:r>
              <w:rPr>
                <w:rFonts w:eastAsia="等线" w:ascii="Arial" w:cs="Arial" w:hAnsi="Arial"/>
                <w:sz w:val="22"/>
              </w:rPr>
              <w:t>：基于706码表完成数据计算重构与fit文件存储验证，夯实数据处理底座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专业组</w:t>
            </w:r>
            <w:r>
              <w:rPr>
                <w:rFonts w:eastAsia="等线" w:ascii="Arial" w:cs="Arial" w:hAnsi="Arial"/>
                <w:sz w:val="22"/>
              </w:rPr>
              <w:t>：完成导航性能提升的初步验证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定位：</w:t>
            </w:r>
            <w:r>
              <w:rPr>
                <w:rFonts w:eastAsia="等线" w:ascii="Arial" w:cs="Arial" w:hAnsi="Arial"/>
                <w:b w:val="true"/>
                <w:sz w:val="22"/>
              </w:rPr>
              <w:t>技术预研 + 架构验证</w:t>
            </w:r>
            <w:r>
              <w:rPr>
                <w:rFonts w:eastAsia="等线" w:ascii="Arial" w:cs="Arial" w:hAnsi="Arial"/>
                <w:sz w:val="22"/>
              </w:rPr>
              <w:t>，不追求功能完整，重点在于降低后续开发风险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PV3.1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PV 3.1——核心骑行功能闭环（5月–6月）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核心目标</w:t>
            </w:r>
            <w:r>
              <w:rPr>
                <w:rFonts w:eastAsia="等线" w:ascii="Arial" w:cs="Arial" w:hAnsi="Arial"/>
                <w:sz w:val="22"/>
              </w:rPr>
              <w:t>：完成骑行记录、导航基础能力、表盘管理等核心功能的研发实现。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基础操作</w:t>
            </w:r>
            <w:r>
              <w:rPr>
                <w:rFonts w:eastAsia="等线" w:ascii="Arial" w:cs="Arial" w:hAnsi="Arial"/>
                <w:sz w:val="22"/>
              </w:rPr>
              <w:t>：手动开关机、蓝牙配对、骑行记录（开始/暂停/结束等）、翻页、自动暂停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数据管理</w:t>
            </w:r>
            <w:r>
              <w:rPr>
                <w:rFonts w:eastAsia="等线" w:ascii="Arial" w:cs="Arial" w:hAnsi="Arial"/>
                <w:sz w:val="22"/>
              </w:rPr>
              <w:t>：历史记录、表盘配置与传输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地图与导航</w:t>
            </w:r>
            <w:r>
              <w:rPr>
                <w:rFonts w:eastAsia="等线" w:ascii="Arial" w:cs="Arial" w:hAnsi="Arial"/>
                <w:sz w:val="22"/>
              </w:rPr>
              <w:t>：地图80%、路线导航/离线导航80%、导航与地图优化项目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专业功能</w:t>
            </w:r>
            <w:r>
              <w:rPr>
                <w:rFonts w:eastAsia="等线" w:ascii="Arial" w:cs="Arial" w:hAnsi="Arial"/>
                <w:sz w:val="22"/>
              </w:rPr>
              <w:t>：爬坡规划、Strava赛段、爬坡与赛段结合显示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场景与优化</w:t>
            </w:r>
            <w:r>
              <w:rPr>
                <w:rFonts w:eastAsia="等线" w:ascii="Arial" w:cs="Arial" w:hAnsi="Arial"/>
                <w:sz w:val="22"/>
              </w:rPr>
              <w:t>：场景2.0 30%、研发优化项目（前后端）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定位：</w:t>
            </w:r>
            <w:r>
              <w:rPr>
                <w:rFonts w:eastAsia="等线" w:ascii="Arial" w:cs="Arial" w:hAnsi="Arial"/>
                <w:b w:val="true"/>
                <w:sz w:val="22"/>
              </w:rPr>
              <w:t>核心骑行功能研发主战场</w:t>
            </w:r>
            <w:r>
              <w:rPr>
                <w:rFonts w:eastAsia="等线" w:ascii="Arial" w:cs="Arial" w:hAnsi="Arial"/>
                <w:sz w:val="22"/>
              </w:rPr>
              <w:t>，确保关键路径可跑通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PV3.2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PV 3.2——系统能力集成与用户场景完善（7月–8月）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核心目标</w:t>
            </w:r>
            <w:r>
              <w:rPr>
                <w:rFonts w:eastAsia="等线" w:ascii="Arial" w:cs="Arial" w:hAnsi="Arial"/>
                <w:sz w:val="22"/>
              </w:rPr>
              <w:t>：完成系统级能力、交互流程、场景功能集成，进入内部测试。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系统能力</w:t>
            </w:r>
            <w:r>
              <w:rPr>
                <w:rFonts w:eastAsia="等线" w:ascii="Arial" w:cs="Arial" w:hAnsi="Arial"/>
                <w:sz w:val="22"/>
              </w:rPr>
              <w:t>：开关机动画、初次使用流程、传感器管理、设置项完整、Wi-Fi/GNSS、固件升级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场景功能</w:t>
            </w:r>
            <w:r>
              <w:rPr>
                <w:rFonts w:eastAsia="等线" w:ascii="Arial" w:cs="Arial" w:hAnsi="Arial"/>
                <w:sz w:val="22"/>
              </w:rPr>
              <w:t>：场景2.0剩余部分、高程全览、爬坡赛段（带UI）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导航完善</w:t>
            </w:r>
            <w:r>
              <w:rPr>
                <w:rFonts w:eastAsia="等线" w:ascii="Arial" w:cs="Arial" w:hAnsi="Arial"/>
                <w:sz w:val="22"/>
              </w:rPr>
              <w:t>：快速导航、在线偏航重新规划、导航优化剩余30%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地图与交互</w:t>
            </w:r>
            <w:r>
              <w:rPr>
                <w:rFonts w:eastAsia="等线" w:ascii="Arial" w:cs="Arial" w:hAnsi="Arial"/>
                <w:sz w:val="22"/>
              </w:rPr>
              <w:t>：地图交互补充、业务元素完善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新增能力</w:t>
            </w:r>
            <w:r>
              <w:rPr>
                <w:rFonts w:eastAsia="等线" w:ascii="Arial" w:cs="Arial" w:hAnsi="Arial"/>
                <w:sz w:val="22"/>
              </w:rPr>
              <w:t>：我的车辆、数据统计、自动计圈（距离/时间/位置）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语音基础</w:t>
            </w:r>
            <w:r>
              <w:rPr>
                <w:rFonts w:eastAsia="等线" w:ascii="Arial" w:cs="Arial" w:hAnsi="Arial"/>
                <w:sz w:val="22"/>
              </w:rPr>
              <w:t>：声音/语音提示、播报（50%）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定位：</w:t>
            </w:r>
            <w:r>
              <w:rPr>
                <w:rFonts w:eastAsia="等线" w:ascii="Arial" w:cs="Arial" w:hAnsi="Arial"/>
                <w:b w:val="true"/>
                <w:sz w:val="22"/>
              </w:rPr>
              <w:t>系统集成与体验闭环</w:t>
            </w:r>
            <w:r>
              <w:rPr>
                <w:rFonts w:eastAsia="等线" w:ascii="Arial" w:cs="Arial" w:hAnsi="Arial"/>
                <w:sz w:val="22"/>
              </w:rPr>
              <w:t>，为内测提供完整可用的产品形态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PV3.3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PV 3.3——高阶专业功能与智能化能力（9月–10月）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核心目标</w:t>
            </w:r>
            <w:r>
              <w:rPr>
                <w:rFonts w:eastAsia="等线" w:ascii="Arial" w:cs="Arial" w:hAnsi="Arial"/>
                <w:sz w:val="22"/>
              </w:rPr>
              <w:t>：上线AI、战术、安全等高阶功能，满足L1/L2用户专业需求。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智能导航</w:t>
            </w:r>
            <w:r>
              <w:rPr>
                <w:rFonts w:eastAsia="等线" w:ascii="Arial" w:cs="Arial" w:hAnsi="Arial"/>
                <w:sz w:val="22"/>
              </w:rPr>
              <w:t>：AI导航、实时体力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战术与赛事</w:t>
            </w:r>
            <w:r>
              <w:rPr>
                <w:rFonts w:eastAsia="等线" w:ascii="Arial" w:cs="Arial" w:hAnsi="Arial"/>
                <w:sz w:val="22"/>
              </w:rPr>
              <w:t>：超级比赛（战术路书）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语音交互</w:t>
            </w:r>
            <w:r>
              <w:rPr>
                <w:rFonts w:eastAsia="等线" w:ascii="Arial" w:cs="Arial" w:hAnsi="Arial"/>
                <w:sz w:val="22"/>
              </w:rPr>
              <w:t>：语音控制及其他优化（累计50%）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安全与场景</w:t>
            </w:r>
            <w:r>
              <w:rPr>
                <w:rFonts w:eastAsia="等线" w:ascii="Arial" w:cs="Arial" w:hAnsi="Arial"/>
                <w:sz w:val="22"/>
              </w:rPr>
              <w:t>：灯光模块、过隧道优化、急弯/下坡/陡坡预警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生态联动</w:t>
            </w:r>
            <w:r>
              <w:rPr>
                <w:rFonts w:eastAsia="等线" w:ascii="Arial" w:cs="Arial" w:hAnsi="Arial"/>
                <w:sz w:val="22"/>
              </w:rPr>
              <w:t>：自行车防盗、HRV（同步迪卡侬）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智能生态</w:t>
            </w:r>
            <w:r>
              <w:rPr>
                <w:rFonts w:eastAsia="等线" w:ascii="Arial" w:cs="Arial" w:hAnsi="Arial"/>
                <w:sz w:val="22"/>
              </w:rPr>
              <w:t>：三智相关（智联助手优化）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定位：</w:t>
            </w:r>
            <w:r>
              <w:rPr>
                <w:rFonts w:eastAsia="等线" w:ascii="Arial" w:cs="Arial" w:hAnsi="Arial"/>
                <w:b w:val="true"/>
                <w:sz w:val="22"/>
              </w:rPr>
              <w:t>专业能力跃升 + 智能化体验落地</w:t>
            </w:r>
            <w:r>
              <w:rPr>
                <w:rFonts w:eastAsia="等线" w:ascii="Arial" w:cs="Arial" w:hAnsi="Arial"/>
                <w:sz w:val="22"/>
              </w:rPr>
              <w:t>，形成差异化竞争力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PV3.4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PV 3.4——训练体系与电源管理完善（11月–12月）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核心目标</w:t>
            </w:r>
            <w:r>
              <w:rPr>
                <w:rFonts w:eastAsia="等线" w:ascii="Arial" w:cs="Arial" w:hAnsi="Arial"/>
                <w:sz w:val="22"/>
              </w:rPr>
              <w:t>：完善室内外训练体系，优化续航与系统闭环。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室内训练</w:t>
            </w:r>
            <w:r>
              <w:rPr>
                <w:rFonts w:eastAsia="等线" w:ascii="Arial" w:cs="Arial" w:hAnsi="Arial"/>
                <w:sz w:val="22"/>
              </w:rPr>
              <w:t>：骑行台训练（多模式/被动）、室内课程训练优化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户外训练</w:t>
            </w:r>
            <w:r>
              <w:rPr>
                <w:rFonts w:eastAsia="等线" w:ascii="Arial" w:cs="Arial" w:hAnsi="Arial"/>
                <w:sz w:val="22"/>
              </w:rPr>
              <w:t>：户外课程训练优化、训练计划导入与提醒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系统优化</w:t>
            </w:r>
            <w:r>
              <w:rPr>
                <w:rFonts w:eastAsia="等线" w:ascii="Arial" w:cs="Arial" w:hAnsi="Arial"/>
                <w:sz w:val="22"/>
              </w:rPr>
              <w:t>：电源管理（休眠等）、自动计圈（按间歇）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闭环与收尾</w:t>
            </w:r>
            <w:r>
              <w:rPr>
                <w:rFonts w:eastAsia="等线" w:ascii="Arial" w:cs="Arial" w:hAnsi="Arial"/>
                <w:sz w:val="22"/>
              </w:rPr>
              <w:t>：各模块优化与功能闭环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定位：</w:t>
            </w:r>
            <w:r>
              <w:rPr>
                <w:rFonts w:eastAsia="等线" w:ascii="Arial" w:cs="Arial" w:hAnsi="Arial"/>
                <w:b w:val="true"/>
                <w:sz w:val="22"/>
              </w:rPr>
              <w:t>训练场景全覆盖 + 系统稳定性提升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PV3.5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PV 3.5——生态能力、安全与上市前闭环（次年3月–4月）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核心目标</w:t>
            </w:r>
            <w:r>
              <w:rPr>
                <w:rFonts w:eastAsia="等线" w:ascii="Arial" w:cs="Arial" w:hAnsi="Arial"/>
                <w:sz w:val="22"/>
              </w:rPr>
              <w:t>：完成上市前最后一批高阶功能，并完成全模块优化闭环。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环境与安全</w:t>
            </w:r>
            <w:r>
              <w:rPr>
                <w:rFonts w:eastAsia="等线" w:ascii="Arial" w:cs="Arial" w:hAnsi="Arial"/>
                <w:sz w:val="22"/>
              </w:rPr>
              <w:t>：红绿灯信息、风向/天气预警、摔倒检测、LiveTrack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社交与通信</w:t>
            </w:r>
            <w:r>
              <w:rPr>
                <w:rFonts w:eastAsia="等线" w:ascii="Arial" w:cs="Arial" w:hAnsi="Arial"/>
                <w:sz w:val="22"/>
              </w:rPr>
              <w:t>：团队骑行 + 对讲优化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生态功能</w:t>
            </w:r>
            <w:r>
              <w:rPr>
                <w:rFonts w:eastAsia="等线" w:ascii="Arial" w:cs="Arial" w:hAnsi="Arial"/>
                <w:sz w:val="22"/>
              </w:rPr>
              <w:t>：部分功能（天气预警、对讲）海外待上市后追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全模块优化</w:t>
            </w:r>
            <w:r>
              <w:rPr>
                <w:rFonts w:eastAsia="等线" w:ascii="Arial" w:cs="Arial" w:hAnsi="Arial"/>
                <w:sz w:val="22"/>
              </w:rPr>
              <w:t>：各模块最终闭环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定位：</w:t>
            </w:r>
            <w:r>
              <w:rPr>
                <w:rFonts w:eastAsia="等线" w:ascii="Arial" w:cs="Arial" w:hAnsi="Arial"/>
                <w:b w:val="true"/>
                <w:sz w:val="22"/>
              </w:rPr>
              <w:t>上市前功能收官 + 生态能力补全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10536">
    <w:lvl>
      <w:numFmt w:val="bullet"/>
      <w:suff w:val="tab"/>
      <w:lvlText w:val="•"/>
      <w:rPr>
        <w:color w:val="3370ff"/>
      </w:rPr>
    </w:lvl>
  </w:abstractNum>
  <w:abstractNum w:abstractNumId="110537">
    <w:lvl>
      <w:numFmt w:val="bullet"/>
      <w:suff w:val="tab"/>
      <w:lvlText w:val="￮"/>
      <w:rPr>
        <w:color w:val="3370ff"/>
      </w:rPr>
    </w:lvl>
  </w:abstractNum>
  <w:abstractNum w:abstractNumId="110538">
    <w:lvl>
      <w:numFmt w:val="bullet"/>
      <w:suff w:val="tab"/>
      <w:lvlText w:val="￮"/>
      <w:rPr>
        <w:color w:val="3370ff"/>
      </w:rPr>
    </w:lvl>
  </w:abstractNum>
  <w:abstractNum w:abstractNumId="110539">
    <w:lvl>
      <w:numFmt w:val="bullet"/>
      <w:suff w:val="tab"/>
      <w:lvlText w:val="•"/>
      <w:rPr>
        <w:color w:val="3370ff"/>
      </w:rPr>
    </w:lvl>
  </w:abstractNum>
  <w:abstractNum w:abstractNumId="110540">
    <w:lvl>
      <w:numFmt w:val="bullet"/>
      <w:suff w:val="tab"/>
      <w:lvlText w:val="￮"/>
      <w:rPr>
        <w:color w:val="3370ff"/>
      </w:rPr>
    </w:lvl>
  </w:abstractNum>
  <w:abstractNum w:abstractNumId="110541">
    <w:lvl>
      <w:numFmt w:val="bullet"/>
      <w:suff w:val="tab"/>
      <w:lvlText w:val="￮"/>
      <w:rPr>
        <w:color w:val="3370ff"/>
      </w:rPr>
    </w:lvl>
  </w:abstractNum>
  <w:abstractNum w:abstractNumId="110542">
    <w:lvl>
      <w:numFmt w:val="bullet"/>
      <w:suff w:val="tab"/>
      <w:lvlText w:val="•"/>
      <w:rPr>
        <w:color w:val="3370ff"/>
      </w:rPr>
    </w:lvl>
  </w:abstractNum>
  <w:abstractNum w:abstractNumId="110543">
    <w:lvl>
      <w:numFmt w:val="bullet"/>
      <w:suff w:val="tab"/>
      <w:lvlText w:val="•"/>
      <w:rPr>
        <w:color w:val="3370ff"/>
      </w:rPr>
    </w:lvl>
  </w:abstractNum>
  <w:abstractNum w:abstractNumId="110544">
    <w:lvl>
      <w:start w:val="1"/>
      <w:numFmt w:val="decimal"/>
      <w:suff w:val="tab"/>
      <w:lvlText w:val="%1."/>
      <w:rPr>
        <w:color w:val="3370ff"/>
      </w:rPr>
    </w:lvl>
  </w:abstractNum>
  <w:abstractNum w:abstractNumId="110545">
    <w:lvl>
      <w:start w:val="2"/>
      <w:numFmt w:val="decimal"/>
      <w:suff w:val="tab"/>
      <w:lvlText w:val="%1."/>
      <w:rPr>
        <w:color w:val="3370ff"/>
      </w:rPr>
    </w:lvl>
  </w:abstractNum>
  <w:abstractNum w:abstractNumId="110546">
    <w:lvl>
      <w:numFmt w:val="bullet"/>
      <w:suff w:val="tab"/>
      <w:lvlText w:val="•"/>
      <w:rPr>
        <w:color w:val="3370ff"/>
      </w:rPr>
    </w:lvl>
  </w:abstractNum>
  <w:abstractNum w:abstractNumId="110547">
    <w:lvl>
      <w:numFmt w:val="bullet"/>
      <w:suff w:val="tab"/>
      <w:lvlText w:val="•"/>
      <w:rPr>
        <w:color w:val="3370ff"/>
      </w:rPr>
    </w:lvl>
  </w:abstractNum>
  <w:abstractNum w:abstractNumId="110548">
    <w:lvl>
      <w:numFmt w:val="bullet"/>
      <w:suff w:val="tab"/>
      <w:lvlText w:val="•"/>
      <w:rPr>
        <w:color w:val="3370ff"/>
      </w:rPr>
    </w:lvl>
  </w:abstractNum>
  <w:abstractNum w:abstractNumId="110549">
    <w:lvl>
      <w:numFmt w:val="bullet"/>
      <w:suff w:val="tab"/>
      <w:lvlText w:val="•"/>
      <w:rPr>
        <w:color w:val="3370ff"/>
      </w:rPr>
    </w:lvl>
  </w:abstractNum>
  <w:abstractNum w:abstractNumId="110550">
    <w:lvl>
      <w:numFmt w:val="bullet"/>
      <w:suff w:val="tab"/>
      <w:lvlText w:val="•"/>
      <w:rPr>
        <w:color w:val="3370ff"/>
      </w:rPr>
    </w:lvl>
  </w:abstractNum>
  <w:abstractNum w:abstractNumId="110551">
    <w:lvl>
      <w:numFmt w:val="bullet"/>
      <w:suff w:val="tab"/>
      <w:lvlText w:val="•"/>
      <w:rPr>
        <w:color w:val="3370ff"/>
      </w:rPr>
    </w:lvl>
  </w:abstractNum>
  <w:abstractNum w:abstractNumId="110552">
    <w:lvl>
      <w:numFmt w:val="bullet"/>
      <w:suff w:val="tab"/>
      <w:lvlText w:val="•"/>
      <w:rPr>
        <w:color w:val="3370ff"/>
      </w:rPr>
    </w:lvl>
  </w:abstractNum>
  <w:abstractNum w:abstractNumId="110553">
    <w:lvl>
      <w:numFmt w:val="bullet"/>
      <w:suff w:val="tab"/>
      <w:lvlText w:val="•"/>
      <w:rPr>
        <w:color w:val="3370ff"/>
      </w:rPr>
    </w:lvl>
  </w:abstractNum>
  <w:abstractNum w:abstractNumId="110554">
    <w:lvl>
      <w:numFmt w:val="bullet"/>
      <w:suff w:val="tab"/>
      <w:lvlText w:val="•"/>
      <w:rPr>
        <w:color w:val="3370ff"/>
      </w:rPr>
    </w:lvl>
  </w:abstractNum>
  <w:abstractNum w:abstractNumId="110555">
    <w:lvl>
      <w:numFmt w:val="bullet"/>
      <w:suff w:val="tab"/>
      <w:lvlText w:val="•"/>
      <w:rPr>
        <w:color w:val="3370ff"/>
      </w:rPr>
    </w:lvl>
  </w:abstractNum>
  <w:abstractNum w:abstractNumId="110556">
    <w:lvl>
      <w:numFmt w:val="bullet"/>
      <w:suff w:val="tab"/>
      <w:lvlText w:val="•"/>
      <w:rPr>
        <w:color w:val="3370ff"/>
      </w:rPr>
    </w:lvl>
  </w:abstractNum>
  <w:abstractNum w:abstractNumId="110557">
    <w:lvl>
      <w:numFmt w:val="bullet"/>
      <w:suff w:val="tab"/>
      <w:lvlText w:val="•"/>
      <w:rPr>
        <w:color w:val="3370ff"/>
      </w:rPr>
    </w:lvl>
  </w:abstractNum>
  <w:abstractNum w:abstractNumId="110558">
    <w:lvl>
      <w:numFmt w:val="bullet"/>
      <w:suff w:val="tab"/>
      <w:lvlText w:val="•"/>
      <w:rPr>
        <w:color w:val="3370ff"/>
      </w:rPr>
    </w:lvl>
  </w:abstractNum>
  <w:abstractNum w:abstractNumId="110559">
    <w:lvl>
      <w:numFmt w:val="bullet"/>
      <w:suff w:val="tab"/>
      <w:lvlText w:val="•"/>
      <w:rPr>
        <w:color w:val="3370ff"/>
      </w:rPr>
    </w:lvl>
  </w:abstractNum>
  <w:abstractNum w:abstractNumId="110560">
    <w:lvl>
      <w:numFmt w:val="bullet"/>
      <w:suff w:val="tab"/>
      <w:lvlText w:val="•"/>
      <w:rPr>
        <w:color w:val="3370ff"/>
      </w:rPr>
    </w:lvl>
  </w:abstractNum>
  <w:abstractNum w:abstractNumId="110561">
    <w:lvl>
      <w:numFmt w:val="bullet"/>
      <w:suff w:val="tab"/>
      <w:lvlText w:val="•"/>
      <w:rPr>
        <w:color w:val="3370ff"/>
      </w:rPr>
    </w:lvl>
  </w:abstractNum>
  <w:abstractNum w:abstractNumId="110562">
    <w:lvl>
      <w:numFmt w:val="bullet"/>
      <w:suff w:val="tab"/>
      <w:lvlText w:val="•"/>
      <w:rPr>
        <w:color w:val="3370ff"/>
      </w:rPr>
    </w:lvl>
  </w:abstractNum>
  <w:abstractNum w:abstractNumId="110563">
    <w:lvl>
      <w:numFmt w:val="bullet"/>
      <w:suff w:val="tab"/>
      <w:lvlText w:val="•"/>
      <w:rPr>
        <w:color w:val="3370ff"/>
      </w:rPr>
    </w:lvl>
  </w:abstractNum>
  <w:abstractNum w:abstractNumId="110564">
    <w:lvl>
      <w:numFmt w:val="bullet"/>
      <w:suff w:val="tab"/>
      <w:lvlText w:val="•"/>
      <w:rPr>
        <w:color w:val="3370ff"/>
      </w:rPr>
    </w:lvl>
  </w:abstractNum>
  <w:abstractNum w:abstractNumId="110565">
    <w:lvl>
      <w:numFmt w:val="bullet"/>
      <w:suff w:val="tab"/>
      <w:lvlText w:val="•"/>
      <w:rPr>
        <w:color w:val="3370ff"/>
      </w:rPr>
    </w:lvl>
  </w:abstractNum>
  <w:abstractNum w:abstractNumId="110566">
    <w:lvl>
      <w:numFmt w:val="bullet"/>
      <w:suff w:val="tab"/>
      <w:lvlText w:val="•"/>
      <w:rPr>
        <w:color w:val="3370ff"/>
      </w:rPr>
    </w:lvl>
  </w:abstractNum>
  <w:abstractNum w:abstractNumId="110567">
    <w:lvl>
      <w:numFmt w:val="bullet"/>
      <w:suff w:val="tab"/>
      <w:lvlText w:val="•"/>
      <w:rPr>
        <w:color w:val="3370ff"/>
      </w:rPr>
    </w:lvl>
  </w:abstractNum>
  <w:abstractNum w:abstractNumId="110568">
    <w:lvl>
      <w:numFmt w:val="bullet"/>
      <w:suff w:val="tab"/>
      <w:lvlText w:val="•"/>
      <w:rPr>
        <w:color w:val="3370ff"/>
      </w:rPr>
    </w:lvl>
  </w:abstractNum>
  <w:abstractNum w:abstractNumId="110569">
    <w:lvl>
      <w:numFmt w:val="bullet"/>
      <w:suff w:val="tab"/>
      <w:lvlText w:val="•"/>
      <w:rPr>
        <w:color w:val="3370ff"/>
      </w:rPr>
    </w:lvl>
  </w:abstractNum>
  <w:abstractNum w:abstractNumId="110570">
    <w:lvl>
      <w:numFmt w:val="bullet"/>
      <w:suff w:val="tab"/>
      <w:lvlText w:val="•"/>
      <w:rPr>
        <w:color w:val="3370ff"/>
      </w:rPr>
    </w:lvl>
  </w:abstractNum>
  <w:abstractNum w:abstractNumId="110571">
    <w:lvl>
      <w:numFmt w:val="bullet"/>
      <w:suff w:val="tab"/>
      <w:lvlText w:val="•"/>
      <w:rPr>
        <w:color w:val="3370ff"/>
      </w:rPr>
    </w:lvl>
  </w:abstractNum>
  <w:abstractNum w:abstractNumId="110572">
    <w:lvl>
      <w:numFmt w:val="bullet"/>
      <w:suff w:val="tab"/>
      <w:lvlText w:val="•"/>
      <w:rPr>
        <w:color w:val="3370ff"/>
      </w:rPr>
    </w:lvl>
  </w:abstractNum>
  <w:abstractNum w:abstractNumId="110573">
    <w:lvl>
      <w:numFmt w:val="bullet"/>
      <w:suff w:val="tab"/>
      <w:lvlText w:val="•"/>
      <w:rPr>
        <w:color w:val="3370ff"/>
      </w:rPr>
    </w:lvl>
  </w:abstractNum>
  <w:num w:numId="1">
    <w:abstractNumId w:val="110536"/>
  </w:num>
  <w:num w:numId="2">
    <w:abstractNumId w:val="110537"/>
  </w:num>
  <w:num w:numId="3">
    <w:abstractNumId w:val="110538"/>
  </w:num>
  <w:num w:numId="4">
    <w:abstractNumId w:val="110539"/>
  </w:num>
  <w:num w:numId="5">
    <w:abstractNumId w:val="110540"/>
  </w:num>
  <w:num w:numId="6">
    <w:abstractNumId w:val="110541"/>
  </w:num>
  <w:num w:numId="7">
    <w:abstractNumId w:val="110542"/>
  </w:num>
  <w:num w:numId="8">
    <w:abstractNumId w:val="110543"/>
  </w:num>
  <w:num w:numId="9">
    <w:abstractNumId w:val="110544"/>
  </w:num>
  <w:num w:numId="10">
    <w:abstractNumId w:val="110545"/>
  </w:num>
  <w:num w:numId="11">
    <w:abstractNumId w:val="110546"/>
  </w:num>
  <w:num w:numId="12">
    <w:abstractNumId w:val="110547"/>
  </w:num>
  <w:num w:numId="13">
    <w:abstractNumId w:val="110548"/>
  </w:num>
  <w:num w:numId="14">
    <w:abstractNumId w:val="110549"/>
  </w:num>
  <w:num w:numId="15">
    <w:abstractNumId w:val="110550"/>
  </w:num>
  <w:num w:numId="16">
    <w:abstractNumId w:val="110551"/>
  </w:num>
  <w:num w:numId="17">
    <w:abstractNumId w:val="110552"/>
  </w:num>
  <w:num w:numId="18">
    <w:abstractNumId w:val="110553"/>
  </w:num>
  <w:num w:numId="19">
    <w:abstractNumId w:val="110554"/>
  </w:num>
  <w:num w:numId="20">
    <w:abstractNumId w:val="110555"/>
  </w:num>
  <w:num w:numId="21">
    <w:abstractNumId w:val="110556"/>
  </w:num>
  <w:num w:numId="22">
    <w:abstractNumId w:val="110557"/>
  </w:num>
  <w:num w:numId="23">
    <w:abstractNumId w:val="110558"/>
  </w:num>
  <w:num w:numId="24">
    <w:abstractNumId w:val="110559"/>
  </w:num>
  <w:num w:numId="25">
    <w:abstractNumId w:val="110560"/>
  </w:num>
  <w:num w:numId="26">
    <w:abstractNumId w:val="110561"/>
  </w:num>
  <w:num w:numId="27">
    <w:abstractNumId w:val="110562"/>
  </w:num>
  <w:num w:numId="28">
    <w:abstractNumId w:val="110563"/>
  </w:num>
  <w:num w:numId="29">
    <w:abstractNumId w:val="110564"/>
  </w:num>
  <w:num w:numId="30">
    <w:abstractNumId w:val="110565"/>
  </w:num>
  <w:num w:numId="31">
    <w:abstractNumId w:val="110566"/>
  </w:num>
  <w:num w:numId="32">
    <w:abstractNumId w:val="110567"/>
  </w:num>
  <w:num w:numId="33">
    <w:abstractNumId w:val="110568"/>
  </w:num>
  <w:num w:numId="34">
    <w:abstractNumId w:val="110569"/>
  </w:num>
  <w:num w:numId="35">
    <w:abstractNumId w:val="110570"/>
  </w:num>
  <w:num w:numId="36">
    <w:abstractNumId w:val="110571"/>
  </w:num>
  <w:num w:numId="37">
    <w:abstractNumId w:val="110572"/>
  </w:num>
  <w:num w:numId="38">
    <w:abstractNumId w:val="1105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5.png" Type="http://schemas.openxmlformats.org/officeDocument/2006/relationships/image"/><Relationship Id="rId12" Target="https://aimagene.feishu.cn/wiki/LbBkwfjssiH7Fwkt35Bc7kKlnVg?from=from_copylink" TargetMode="External" Type="http://schemas.openxmlformats.org/officeDocument/2006/relationships/hyperlink"/><Relationship Id="rId13" Target="https://aimagene.feishu.cn/wiki/AYpFwqPFyiUty2kssUXcoYcZng2?from=from_copylink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numbering.xml" Type="http://schemas.openxmlformats.org/officeDocument/2006/relationships/numbering"/><Relationship Id="rId8" Target="embeddings/Microsoft_Excel_Worksheet1.xlsx" Type="http://schemas.openxmlformats.org/officeDocument/2006/relationships/package"/><Relationship Id="rId9" Target="media/image4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2026-07-15T11:30:39Z</dcterms:created>
  <dc:creator>Apache POI</dc:creator>
</cp:coreProperties>
</file>