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主動台灣核心優選 AI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AI Agent 依公開事件集中持有 10 至 12 檔高信心台股，追求明顯偏離大盤的超額報酬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 ETF 由 AI Agent 依公開事件集中投資台股。程式每日以投信買超、相對強度與成交值放大篩出約 30 檔候選，並對主動型 ETF 重押的股票扣分；Agent 閱讀月營收、財報、法說會、投信連買與重大訊息，挑出 10 至 12 檔高信心股票，高信心配置 8%、中信心 5.5%，其餘以大型權值股小額湊足持股。每檔都須引用具名資訊；持有至少 3 日、每日最多換 4 檔、跌逾 12% 無新利多即停損，重大美國事件前一日不加碼，以紀律追求明顯偏離大盤的超額報酬。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大中與主動型 ETF 重疊較低的大型權值股小額湊足 23–24 檔持股。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23–24 檔（官方 20–30；內部至少比 20 檔多 3 檔緩衝）；出現在超過 50% 主動型 ETF 前 15 大的股票排在後面（低重疊優先）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60 檔（schema 上限）時分兩天完成；BUY/ADD 的目標權重以前日收盤 ×1.10（漲停）壓力測試仍須 ≤ 10%（2330 ≤ 25%）；前日結算權重 &gt; 9.5%（2330 &gt; 24%）的被動超限部位當日強制減碼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初賽期間高波動事件（美國時間）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前一交易日的處理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-12.3% ～ +11.4%，平均換手 2.0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-5.9%；顯示策略的勝負高度依賴選股是否抓到當期主流。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15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2.2.0（status = final）。策略改版（v2.0.0；v2.1.0 權重下修為 8%／5.5%、預設遲滯續抱、改用真實前 15 大；v2.2.0 總持股 23–24 檔、湊檔低重疊優先）：由「市值基準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