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10224" w:type="dxa"/>
        <w:jc w:val="center"/>
        <w:tblLayout w:type="fixed"/>
        <w:tblLook w:val="04A0" w:firstRow="1" w:lastRow="0" w:firstColumn="1" w:lastColumn="0" w:noHBand="0" w:noVBand="1"/>
      </w:tblPr>
      <w:tblGrid>
        <w:gridCol w:w="2830"/>
        <w:gridCol w:w="7394"/>
      </w:tblGrid>
      <w:tr w:rsidR="002C1B55" w:rsidRPr="00483ED3" w14:paraId="4D1E4C00" w14:textId="77777777" w:rsidTr="002C1B55">
        <w:trPr>
          <w:trHeight w:val="863"/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CC01FC" w14:textId="7ABD6B24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  <w:lang w:eastAsia="zh-TW"/>
              </w:rPr>
              <w:t>ETF 名稱</w:t>
            </w:r>
            <w:r w:rsidRPr="00483ED3"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(20字內</w:t>
            </w:r>
            <w:r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，限使用中文或英文</w:t>
            </w:r>
            <w:r w:rsidRPr="00483ED3"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)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74EFC0" w14:textId="0B47D9B1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hAnsi="標楷體" w:eastAsia="標楷體"/>
                <w:sz w:val="21"/>
              </w:rPr>
              <w:t>主動台灣核心優選 AI</w:t>
            </w:r>
          </w:p>
        </w:tc>
      </w:tr>
      <w:tr w:rsidR="002C1B55" w:rsidRPr="00483ED3" w14:paraId="053B1821" w14:textId="77777777" w:rsidTr="002C1B55">
        <w:trPr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567F22" w14:textId="4B78E713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  <w:lang w:eastAsia="zh-TW"/>
              </w:rPr>
              <w:t>ETF 投資主題（50字內）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57FABD" w14:textId="5E771A3D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hAnsi="標楷體" w:eastAsia="標楷體"/>
                <w:sz w:val="21"/>
              </w:rPr>
              <w:t>AI Agent 依公開事件集中持有 10 至 12 檔高信心台股，追求明顯偏離大盤的超額報酬</w:t>
            </w:r>
          </w:p>
        </w:tc>
      </w:tr>
      <w:tr w:rsidR="002C1B55" w:rsidRPr="00483ED3" w14:paraId="20E1C357" w14:textId="77777777" w:rsidTr="002C1B55">
        <w:trPr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195A04" w14:textId="25865961" w:rsidR="002C1B55" w:rsidRPr="00483ED3" w:rsidRDefault="002C1B55" w:rsidP="00960D43">
            <w:pPr>
              <w:rPr>
                <w:rFonts w:ascii="標楷體" w:eastAsia="標楷體" w:hAnsi="標楷體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</w:rPr>
              <w:t>ETF 投資理念（100～300字）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9F35DA" w14:textId="1A36862E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hAnsi="標楷體" w:eastAsia="標楷體"/>
                <w:sz w:val="21"/>
              </w:rPr>
              <w:t>本 ETF 由 AI Agent 依公開事件集中投資台股。程式每日以投信買超、相對強度與成交值放大篩出約 30 檔候選，並對主動型 ETF 重押的股票扣分；Agent 閱讀月營收、財報、法說會、投信連買與重大訊息，挑出 10 至 12 檔高信心股票，高信心配置 8%、中信心 5.5%，其餘以大型權值股小額湊足持股。每檔都須引用具名資訊；持有至少 3 日、每日最多換 4 檔、跌逾 12% 無新利多即停損，重大美國事件前一日不加碼，以紀律追求明顯偏離大盤的超額報酬。</w:t>
            </w:r>
          </w:p>
        </w:tc>
      </w:tr>
    </w:tbl>
    <w:p w14:paraId="5145DE34" w14:textId="77777777" w:rsidR="00534563" w:rsidRDefault="00534563">
      <w:pPr>
        <w:rPr>
          <w:lang w:eastAsia="zh-TW"/>
        </w:rPr>
      </w:pPr>
    </w:p>
    <w:p>
      <w:pPr>
        <w:keepNext/>
        <w:spacing w:before="280" w:after="80"/>
      </w:pPr>
      <w:r>
        <w:rPr>
          <w:rFonts w:ascii="微軟正黑體" w:hAnsi="微軟正黑體" w:eastAsia="微軟正黑體"/>
          <w:b/>
          <w:color w:val="1F4E79"/>
          <w:sz w:val="28"/>
        </w:rPr>
        <w:t>補充說明</w:t>
      </w:r>
    </w:p>
    <w:p>
      <w:pPr>
        <w:spacing w:after="80"/>
      </w:pPr>
      <w:r>
        <w:rPr>
          <w:rFonts w:ascii="微軟正黑體" w:hAnsi="微軟正黑體" w:eastAsia="微軟正黑體"/>
          <w:b w:val="0"/>
          <w:i/>
          <w:sz w:val="18"/>
        </w:rPr>
        <w:t>以下內容補充說明上表的宣告，並標示每段宣告將如何出現在每日 D-Plan（market_view、inferences、decisions）。</w:t>
      </w: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一、投組結構：集中的高信心部位＋湊檔數部位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每日由程式從 150 檔篩出約 30 檔候選（投信 5／10 日淨買超、20 日相對強度、成交值放大，並對主動型 ETF 重疊扣分），AI Agent 閱讀月營收、財報、法說會、投信連買與重大訊息後挑出 10–12 檔高信心股票並給信心等級，程式換算為 8%／5.5% 的集中部位；其餘以市值前 30 大小額湊足持股檔數。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部位</w:t>
            </w:r>
          </w:p>
        </w:tc>
        <w:tc>
          <w:tcPr>
            <w:tcW w:type="dxa" w:w="7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規則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投資範圍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台股（上市＋上櫃，限 universe_150）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高信心部位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10–12 檔，由 AI Agent 從候選池挑選並給信心等級：高 = 8%、中 = 5.5%（2330：高 15%、中 10%）；名目權重合計過大時等比例縮小、過小時在上限內等比例放大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單檔上限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8%（官方 10%，留 2% 給價格漂移：買進當天漲停且淨值下跌仍不超過 10%），2330 為 20%（官方 25%）；前日收盤超過 9.5%（2330 22%）當日減回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湊檔數部位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市值前 30 大、且不在高信心名單者，取市值最大的若干檔各 1%–2%，使總持股 21–24 檔（官方 20–30；內部下限 21 檔，建倉當天若一檔停牌買不到仍有 20 檔）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現金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目標 3%，區間 2%–5%；委託後預估現金比 ≥ 2% ＋ 0.03 × 買進金額占淨值（成交均價可能高於前日收盤），不足時等比例縮減買進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Active Share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我方前 15 大 vs 每檔主動型 ETF 前 15 大，官方 ≥ 15%、內部目標 ≥ 20%；不足時先把重疊的湊檔股換成不重疊者，再把重疊最大的高信心部位每次降 1.5%（最低 3%）；仍不足則退回 Agent 換股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Active Share 硬規則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前日收盤 &lt; 17% → 當日強制再平衡到 ≥ 20%；前日收盤已 &lt; 15% → 當日補到 ≥ 25%，避免連續 2 日低於官方門檻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交易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每日依名單重算目標權重；既有持股差距 &lt; 1.5%（無交易帶）不交易；單日異動超過 30 檔（schema 上限）時分兩天完成</w:t>
            </w:r>
          </w:p>
        </w:tc>
      </w:tr>
    </w:tbl>
    <w:p>
      <w:pPr>
        <w:spacing w:after="40"/>
      </w:pP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decisions：target_weight 由信心等級機械換算（高 8%／中 5.5%），湊檔股各 1–2%；委託一律由官方公式 derive_orders 推導，Agent 不決定權重或股數。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inferences：每檔高信心部位一則推論（引用 Agent 選的 observation）；湊檔數部位一則推論（引用 filler_universe）；未偏離無交易帶者以「差距在無交易帶內」推論寫入 no_trade_decisions。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market_view：posture 與現金區間由實際委託推得，不由 Agent 自填；regime／stance 須與淨買賣方向一致。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二、超額來源：候選池＋AI Agent 依公開事件選股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程式每日從 150 檔用資料篩出候選池，Agent 只能從候選池（或目前名單）挑選；候選分數負責排序，入選理由必須是具名的公開資訊。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候選池</w:t>
            </w:r>
          </w:p>
        </w:tc>
        <w:tc>
          <w:tcPr>
            <w:tcW w:type="dxa" w:w="7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設定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檔數與流動性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每日約 30 檔；20 日均成交值 ≥ 3 億（8% 部位約 8000 萬，低於日成交值的 27%）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分數組成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投信近 5 日淨買超占成交值 ×0.2、近 10 日 ×0.2；20 日相對強度 ×0.3；成交值放大（5 日／20 日均量）×0.15（皆為橫斷面 z 分數）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差異化扣分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減去 1.0 × 出現在主動型 ETF 前 15 大的比例：越多主動型 ETF 重押的股票分數越低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固定列入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2330：重疊扣分會讓它永遠排不進前 30 名，但宣告允許 Agent 選它（上限 20%）</w:t>
            </w:r>
          </w:p>
        </w:tc>
      </w:tr>
    </w:tbl>
    <w:p>
      <w:pPr>
        <w:spacing w:after="40"/>
      </w:pP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14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入選依據</w:t>
            </w:r>
          </w:p>
        </w:tc>
        <w:tc>
          <w:tcPr>
            <w:tcW w:type="dxa" w:w="1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資料來源（authority）</w:t>
            </w:r>
          </w:p>
        </w:tc>
        <w:tc>
          <w:tcPr>
            <w:tcW w:type="dxa" w:w="61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例子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財報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營收／毛利率／EPS 相對前期或市場預期明顯轉強或轉弱；存貨、應收帳款或現金流出現異常變化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法說會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mops、media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管理層上修／下修展望、資本支出或產能計畫；法說會揭露的訂單能見度或客戶需求變化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月營收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月營收年增率或月增率連續加速／轉弱；創單月歷史新高或明顯低於近期趨勢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投信連續買賣超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twse、tpex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投信連續多個交易日淨買超（或淨賣超），且金額占成交值比重明顯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重大訊息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重大合約、增資／減資、處分資產、訴訟、董監持股異動等公告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Agent 的輸出與程式檢查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每一檔 picks 必須引用至少一則 observation，其 ticker 為該股、topic 為所宣告的依據 id、source.authority 屬於該依據允許的來源，且 content_as_of 不晚於決策日 19:30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只能從當日候選池（約 30 檔）或目前的高信心名單中挑選；2330 一律列入候選表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候選分數（candidate_screen）含股價相對強度，只能作為排序參考與輔助引用，不能單獨作為入選依據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停損股票若要保留，必須引用今日新出現的正面事件（財報、法說會、月營收、重大訊息）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Agent 不得輸出權重、股數、委託或 posture；輸出不合格會被退回重寫，最多 3 次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信心等級：高信心：配置 8%（2330 為 15%）；中信心：配置 5.5%（2330 為 10%）。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observations：candidate_screen（候選分數與組成，排序用）、trust_flow（投信 5／10 日淨買超、連買天數）以及月營收、財報、法說會、重大訊息事件；topic 與依據 id 相同，來源 authority 如上表。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inferences：每檔高信心部位的 premise_refs 指向該股的依據 observation，logic 說明「事實 → 為何高／中信心 → 與主題的關係」，counter_evidence 寫反方訊號；主動移出者另有一則移出推論。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三、換股紀律（程式強制，違反就退回 Agent 重寫）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遲滯：已持有且仍在候選池前 30 名者預設續抱；要移出必須在 exits 引用該股今日的依據事實（財報、法說會、月營收、投信、重大訊息），候選分數或股價變動不構成移出理由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高信心部位持有 ≥ 3 個交易日才可賣出或降級（觸發停損除外）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每日最多新增 4 檔、主動移出 4 檔（首次建倉不受限；停損出場不計入）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還原價相對成本（進場日成交均價）下跌超過 12%，且當日沒有新的正面事件 → 出場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FOMC 利率決議、NVIDIA 財報、美國大選（config/event_calendar.json）的前一交易日：不新增部位、不升級，既有部位凍結（停損與漂移保護照常）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名單與信心等級沒有新證據就續抱；每次換股往返成本約 0.6%，候選分數變動不是換股理由。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狀態（名單、進場日、引用證據）存於 runs/state/conviction.json，隔日重建成 observation，續抱的推論可重新引用原證據。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初賽期間高波動事件（美國時間）</w:t>
            </w:r>
          </w:p>
        </w:tc>
        <w:tc>
          <w:tcPr>
            <w:tcW w:type="dxa" w:w="47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前一交易日的處理</w:t>
            </w:r>
          </w:p>
        </w:tc>
      </w:tr>
      <w:tr>
        <w:tc>
          <w:tcPr>
            <w:tcW w:type="dxa" w:w="4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2026-10-28 FOMC 利率決議</w:t>
            </w:r>
          </w:p>
        </w:tc>
        <w:tc>
          <w:tcPr>
            <w:tcW w:type="dxa" w:w="4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不新增、不升級，既有部位凍結</w:t>
            </w:r>
          </w:p>
        </w:tc>
      </w:tr>
      <w:tr>
        <w:tc>
          <w:tcPr>
            <w:tcW w:type="dxa" w:w="4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2026-11-03 美國期中選舉</w:t>
            </w:r>
          </w:p>
        </w:tc>
        <w:tc>
          <w:tcPr>
            <w:tcW w:type="dxa" w:w="4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不新增、不升級，既有部位凍結</w:t>
            </w:r>
          </w:p>
        </w:tc>
      </w:tr>
      <w:tr>
        <w:tc>
          <w:tcPr>
            <w:tcW w:type="dxa" w:w="4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2026-11-18 NVIDIA FY2027 Q3 財報（推估）</w:t>
            </w:r>
          </w:p>
        </w:tc>
        <w:tc>
          <w:tcPr>
            <w:tcW w:type="dxa" w:w="4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不新增、不升級，既有部位凍結</w:t>
            </w:r>
          </w:p>
        </w:tc>
      </w:tr>
    </w:tbl>
    <w:p>
      <w:pPr>
        <w:spacing w:after="40"/>
      </w:pP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observations：position_pnl（持有天數、相對成本報酬）與 event_calendar（事件排程）。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inferences：停損出場以 position_pnl 為前提；事件前一交易日的 no_trade 推論引用 event_calendar。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decisions：停損 → SELL_ALL；未滿 3 日者不會出現在賣出；事件前一交易日不會出現 BUY。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四、代理回測摘要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LLM 無法回測，以「候選池分數前 11 名（前 5 名高、其餘中；已持有且名次 ≤ 30 者續抱）」代替 Agent 選股，其餘規則與實盤同一套程式。自 2025-04-01 起每 2 個交易日一個起點、每段 24 個交易日（初賽約 24 日）、從 10 億現金建倉，計算相對「市值加權上限基準（2330 ≤ 20%、其他 ≤ 8%）」的超額報酬分布。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1038"/>
        <w:gridCol w:w="1038"/>
        <w:gridCol w:w="1038"/>
        <w:gridCol w:w="1038"/>
        <w:gridCol w:w="1038"/>
        <w:gridCol w:w="1038"/>
        <w:gridCol w:w="1038"/>
        <w:gridCol w:w="1038"/>
      </w:tblGrid>
      <w:tr>
        <w:tc>
          <w:tcPr>
            <w:tcW w:type="dxa" w:w="2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24 日窗口</w:t>
            </w:r>
          </w:p>
        </w:tc>
        <w:tc>
          <w:tcPr>
            <w:tcW w:type="dxa" w:w="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窗口數</w:t>
            </w:r>
          </w:p>
        </w:tc>
        <w:tc>
          <w:tcPr>
            <w:tcW w:type="dxa" w:w="11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P(超額 &gt; +5%)</w:t>
            </w:r>
          </w:p>
        </w:tc>
        <w:tc>
          <w:tcPr>
            <w:tcW w:type="dxa" w:w="10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P(&gt; +10%)</w:t>
            </w:r>
          </w:p>
        </w:tc>
        <w:tc>
          <w:tcPr>
            <w:tcW w:type="dxa" w:w="10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P(&lt; −10%)</w:t>
            </w:r>
          </w:p>
        </w:tc>
        <w:tc>
          <w:tcPr>
            <w:tcW w:type="dxa" w:w="9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平均超額</w:t>
            </w:r>
          </w:p>
        </w:tc>
        <w:tc>
          <w:tcPr>
            <w:tcW w:type="dxa" w:w="9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平均 MDD</w:t>
            </w:r>
          </w:p>
        </w:tc>
        <w:tc>
          <w:tcPr>
            <w:tcW w:type="dxa" w:w="9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單檔 &gt; 10%（天）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預設（遲滯續抱，高 8%／中 5.5%）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22%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11%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-0.1%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-6.8%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16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 xml:space="preserve">　其中樣本外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-5.3%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-5.5%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敏感度：嚴格前 11 名（不續抱）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15%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11%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-1.2%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-6.9%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10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敏感度：2330 固定高信心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21%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-0.2%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-6.5%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對照：舊權重 9%／6%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23%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13%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9%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-0.0%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-7.0%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93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對照：合規基準 A（降級保底）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-0.9%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-5.4%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預設版 24 日超額 5%～95% 區間為 -11.8% ～ +12.5%，平均換手 2.1 倍、費用與證交稅平均 1.1%：集中策略確實拉大與大盤的偏離，但左尾同樣變厚；不續抱、每天追逐候選名次的版本換手更高、結果更差，所以規則以「沒有新證據就續抱」為預設。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樣本外（窗口起點 ≥ 2026-08-01）只有 11 個彼此重疊的窗口，平均超額 -5.3%；顯示策略的勝負高度依賴選股是否抓到當期主流。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違規檢查（逐日期末）：持股檔數 0、現金 0、Active Share &lt; 15% 共 0 天；單檔超過 10% 的 16 天中，買進當日即超過者 0 天，其餘為持有中的價格漂移，隔日減回（官方給 5 個交易日調整）。高信心權重由 9% 下修為 8%，就是為了降低「買進當日收盤超過 10%」被認定為加碼違規的風險。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名單偏誤：150 檔是 2026 年 7 月底依市值選出，之前的回測有前視與倖存者偏誤，動能／籌碼分數尤其容易買到事後的贏家；主動型 ETF 持股用 2026-10-07、2026-10-08 的真實前 15 大快照。回測不證明 Agent 能創造超額報酬，只能檢驗規則與成本。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market_view.counter_evidence 與 inferences.counter_evidence：誠實寫出反方訊號；confidence 不得高於證據所能支持的程度。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no_trade_decisions：沒有新證據或差距在無交易帶內的持股一律寫入，並引用對應推論。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五、降級保底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Agent 連續 3 次輸出未通過檢查時：若已有高信心名單 → 凍結（沿用現有部位，只做停損與漂移保護）；若尚無名單或凍結也不合規 → 改用合規基準 A（舊版正式策略，零 tilt）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19"/>
        </w:rPr>
        <w:t>合規基準 A：投資範圍內『有當日價格且 20 日均成交值 ≥ 2 億』的股票，以市值（還原收盤價 × 發行股數）加權，2330 權重上限 20%、其他個股上限 8%（超額按市值比例重分配）；取權重最大的前 28 檔重新歸一；現金 3%；再以最小調整法（只動 1–3 檔重疊最大的標的，減下的權重分給第 16–28 名）把 Active Share 補到 ≥ 22%（官方門檻 15%，前 15 大口徑）。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market_view：降級日 regime／stance 為 neutral，logic 說明降級原因與方式（凍結或合規基準 A）。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inferences／decisions：凍結時沿用原名單的推論並重新引用原證據；改用合規基準 A 時以「依合規基準 A 配置」為推論。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六、每日 D-Plan 與本文件的對照檢查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4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本文件的宣告</w:t>
            </w:r>
          </w:p>
        </w:tc>
        <w:tc>
          <w:tcPr>
            <w:tcW w:type="dxa" w:w="51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每日 D-Plan 對應欄位</w:t>
            </w:r>
          </w:p>
        </w:tc>
        <w:tc>
          <w:tcPr>
            <w:tcW w:type="dxa" w:w="1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程式檢查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投資主題：集中持有 10–12 檔高信心股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decisions.target_weight（高 8%／中 5.5%）；inferences 每檔一則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conviction.build_portfolio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投資理念：依公開事件選股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observations.topic ∈ 五種依據；inferences 引用該 observation；decisions 引用 inference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conviction_agent.check_picks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每檔須有具名來源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sources.authority 與 content_as_of；observations.source_ref；dplan_validate C1（引用鏈不可斷）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validate()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持有 3 日、每日換 4 檔、停損 12%、事件前一日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position_pnl／event_calendar observation；SELL_ALL 與 BUY 的時點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conviction.discipline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Active Share ≥ 20%（官方 15%）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target_weight 已通過 Active Share 檢查才進入 decisions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conviction.build_portfolio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現金與曝險承諾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market_view.posture 由實際委託推得；dplan_validate C12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plan.posture_for／validate()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紀律：無證據不動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no_trade_decisions 涵蓋所有未異動持股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dplan_validate 覆蓋檢查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 w:val="0"/>
          <w:i/>
          <w:sz w:val="17"/>
        </w:rPr>
        <w:t>宣告版本 2.1.0（status = final）。策略改版（v2.0.0；v2.1.0 權重下修為 8%／5.5%、預設遲滯續抱、改用真實前 15 大）：由「市值基準 ±3% 小幅加減碼」改為「集中主題＋事件驅動」。修改任何欄位＝改版，agent_metadata.code_version 需對應新的 git commit；portfolio_rules／candidate_rules／fallback.portfolio_rules 必須與 ConvictionParams／CandidateParams／FinalParams 一致（有測試）。</w:t>
      </w:r>
    </w:p>
    <w:sectPr w:rsidR="00534563">
      <w:headerReference w:type="default" r:id="rId6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DDE84" w14:textId="77777777" w:rsidR="00F61EE6" w:rsidRDefault="00F61EE6" w:rsidP="002C1B55">
      <w:pPr>
        <w:spacing w:after="0" w:line="240" w:lineRule="auto"/>
      </w:pPr>
      <w:r>
        <w:separator/>
      </w:r>
    </w:p>
  </w:endnote>
  <w:endnote w:type="continuationSeparator" w:id="0">
    <w:p w14:paraId="6B12B57A" w14:textId="77777777" w:rsidR="00F61EE6" w:rsidRDefault="00F61EE6" w:rsidP="002C1B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33354" w14:textId="77777777" w:rsidR="00F61EE6" w:rsidRDefault="00F61EE6" w:rsidP="002C1B55">
      <w:pPr>
        <w:spacing w:after="0" w:line="240" w:lineRule="auto"/>
      </w:pPr>
      <w:r>
        <w:separator/>
      </w:r>
    </w:p>
  </w:footnote>
  <w:footnote w:type="continuationSeparator" w:id="0">
    <w:p w14:paraId="44829D75" w14:textId="77777777" w:rsidR="00F61EE6" w:rsidRDefault="00F61EE6" w:rsidP="002C1B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BB255" w14:textId="2F882E2D" w:rsidR="002C1B55" w:rsidRPr="002C1B55" w:rsidRDefault="00180810" w:rsidP="002C1B55">
    <w:pPr>
      <w:pStyle w:val="af"/>
      <w:jc w:val="center"/>
      <w:rPr>
        <w:rFonts w:ascii="標楷體" w:eastAsia="標楷體" w:hAnsi="標楷體"/>
        <w:sz w:val="24"/>
        <w:szCs w:val="24"/>
      </w:rPr>
    </w:pPr>
    <w:r>
      <w:rPr>
        <w:rFonts w:ascii="標楷體" w:eastAsia="標楷體" w:hAnsi="標楷體" w:hint="eastAsia"/>
        <w:sz w:val="24"/>
        <w:szCs w:val="24"/>
        <w:lang w:eastAsia="zh-TW"/>
      </w:rPr>
      <w:t>參賽隊伍</w:t>
    </w:r>
    <w:r w:rsidR="002C1B55" w:rsidRPr="002C1B55">
      <w:rPr>
        <w:rFonts w:ascii="標楷體" w:eastAsia="標楷體" w:hAnsi="標楷體" w:hint="eastAsia"/>
        <w:sz w:val="24"/>
        <w:szCs w:val="24"/>
        <w:lang w:eastAsia="zh-TW"/>
      </w:rPr>
      <w:t>請以此格式繳交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B55"/>
    <w:rsid w:val="00180810"/>
    <w:rsid w:val="002C1B55"/>
    <w:rsid w:val="003A13CE"/>
    <w:rsid w:val="00534563"/>
    <w:rsid w:val="006E4707"/>
    <w:rsid w:val="00AC49E2"/>
    <w:rsid w:val="00EE45D1"/>
    <w:rsid w:val="00F61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270632"/>
  <w15:chartTrackingRefBased/>
  <w15:docId w15:val="{733981A2-44FA-4E7E-8A68-B5AF44F73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1B55"/>
    <w:pPr>
      <w:spacing w:after="200" w:line="276" w:lineRule="auto"/>
    </w:pPr>
    <w:rPr>
      <w:rFonts w:ascii="微軟正黑體" w:eastAsia="微軟正黑體" w:hAnsi="微軟正黑體"/>
      <w:kern w:val="0"/>
      <w:sz w:val="21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C1B55"/>
    <w:pPr>
      <w:keepNext/>
      <w:keepLines/>
      <w:widowControl w:val="0"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8"/>
      <w:szCs w:val="48"/>
      <w:lang w:eastAsia="zh-TW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C1B55"/>
    <w:pPr>
      <w:keepNext/>
      <w:keepLines/>
      <w:widowControl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zh-TW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1B55"/>
    <w:pPr>
      <w:keepNext/>
      <w:keepLines/>
      <w:widowControl w:val="0"/>
      <w:spacing w:before="160" w:after="4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32"/>
      <w:szCs w:val="32"/>
      <w:lang w:eastAsia="zh-TW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1B55"/>
    <w:pPr>
      <w:keepNext/>
      <w:keepLines/>
      <w:widowControl w:val="0"/>
      <w:spacing w:before="160" w:after="40" w:line="278" w:lineRule="auto"/>
      <w:outlineLvl w:val="3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:lang w:eastAsia="zh-TW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1B55"/>
    <w:pPr>
      <w:keepNext/>
      <w:keepLines/>
      <w:widowControl w:val="0"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4"/>
      <w:szCs w:val="24"/>
      <w:lang w:eastAsia="zh-TW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outlineLvl w:val="5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zh-TW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zh-TW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zh-TW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zh-TW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C1B55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C1B5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C1B55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C1B5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C1B55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C1B5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C1B5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C1B5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C1B5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C1B55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TW"/>
      <w14:ligatures w14:val="standardContextual"/>
    </w:rPr>
  </w:style>
  <w:style w:type="character" w:customStyle="1" w:styleId="a4">
    <w:name w:val="標題 字元"/>
    <w:basedOn w:val="a0"/>
    <w:link w:val="a3"/>
    <w:uiPriority w:val="10"/>
    <w:rsid w:val="002C1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1B55"/>
    <w:pPr>
      <w:widowControl w:val="0"/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TW"/>
      <w14:ligatures w14:val="standardContextual"/>
    </w:rPr>
  </w:style>
  <w:style w:type="character" w:customStyle="1" w:styleId="a6">
    <w:name w:val="副標題 字元"/>
    <w:basedOn w:val="a0"/>
    <w:link w:val="a5"/>
    <w:uiPriority w:val="11"/>
    <w:rsid w:val="002C1B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C1B55"/>
    <w:pPr>
      <w:widowControl w:val="0"/>
      <w:spacing w:before="160" w:after="160" w:line="278" w:lineRule="auto"/>
      <w:jc w:val="center"/>
    </w:pPr>
    <w:rPr>
      <w:rFonts w:asciiTheme="minorHAnsi" w:eastAsiaTheme="minorEastAsia" w:hAnsiTheme="minorHAnsi"/>
      <w:i/>
      <w:iCs/>
      <w:color w:val="404040" w:themeColor="text1" w:themeTint="BF"/>
      <w:kern w:val="2"/>
      <w:sz w:val="24"/>
      <w:szCs w:val="24"/>
      <w:lang w:eastAsia="zh-TW"/>
      <w14:ligatures w14:val="standardContextual"/>
    </w:rPr>
  </w:style>
  <w:style w:type="character" w:customStyle="1" w:styleId="a8">
    <w:name w:val="引文 字元"/>
    <w:basedOn w:val="a0"/>
    <w:link w:val="a7"/>
    <w:uiPriority w:val="29"/>
    <w:rsid w:val="002C1B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C1B55"/>
    <w:pPr>
      <w:widowControl w:val="0"/>
      <w:spacing w:after="160" w:line="278" w:lineRule="auto"/>
      <w:ind w:left="720"/>
      <w:contextualSpacing/>
    </w:pPr>
    <w:rPr>
      <w:rFonts w:asciiTheme="minorHAnsi" w:eastAsiaTheme="minorEastAsia" w:hAnsiTheme="minorHAnsi"/>
      <w:kern w:val="2"/>
      <w:sz w:val="24"/>
      <w:szCs w:val="24"/>
      <w:lang w:eastAsia="zh-TW"/>
      <w14:ligatures w14:val="standardContextual"/>
    </w:rPr>
  </w:style>
  <w:style w:type="character" w:styleId="aa">
    <w:name w:val="Intense Emphasis"/>
    <w:basedOn w:val="a0"/>
    <w:uiPriority w:val="21"/>
    <w:qFormat/>
    <w:rsid w:val="002C1B55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C1B55"/>
    <w:pPr>
      <w:widowControl w:val="0"/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/>
      <w:i/>
      <w:iCs/>
      <w:color w:val="2E74B5" w:themeColor="accent1" w:themeShade="BF"/>
      <w:kern w:val="2"/>
      <w:sz w:val="24"/>
      <w:szCs w:val="24"/>
      <w:lang w:eastAsia="zh-TW"/>
      <w14:ligatures w14:val="standardContextual"/>
    </w:rPr>
  </w:style>
  <w:style w:type="character" w:customStyle="1" w:styleId="ac">
    <w:name w:val="鮮明引文 字元"/>
    <w:basedOn w:val="a0"/>
    <w:link w:val="ab"/>
    <w:uiPriority w:val="30"/>
    <w:rsid w:val="002C1B55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2C1B55"/>
    <w:rPr>
      <w:b/>
      <w:bCs/>
      <w:smallCaps/>
      <w:color w:val="2E74B5" w:themeColor="accent1" w:themeShade="BF"/>
      <w:spacing w:val="5"/>
    </w:rPr>
  </w:style>
  <w:style w:type="table" w:styleId="ae">
    <w:name w:val="Table Grid"/>
    <w:basedOn w:val="a1"/>
    <w:uiPriority w:val="59"/>
    <w:rsid w:val="002C1B55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2C1B5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2C1B55"/>
    <w:rPr>
      <w:rFonts w:ascii="微軟正黑體" w:eastAsia="微軟正黑體" w:hAnsi="微軟正黑體"/>
      <w:kern w:val="0"/>
      <w:sz w:val="20"/>
      <w:szCs w:val="20"/>
      <w:lang w:eastAsia="en-US"/>
      <w14:ligatures w14:val="none"/>
    </w:rPr>
  </w:style>
  <w:style w:type="paragraph" w:styleId="af1">
    <w:name w:val="footer"/>
    <w:basedOn w:val="a"/>
    <w:link w:val="af2"/>
    <w:uiPriority w:val="99"/>
    <w:unhideWhenUsed/>
    <w:rsid w:val="002C1B5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2C1B55"/>
    <w:rPr>
      <w:rFonts w:ascii="微軟正黑體" w:eastAsia="微軟正黑體" w:hAnsi="微軟正黑體"/>
      <w:kern w:val="0"/>
      <w:sz w:val="20"/>
      <w:szCs w:val="20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潘皓天17786</dc:creator>
  <cp:keywords/>
  <dc:description/>
  <cp:lastModifiedBy>潘皓天17786</cp:lastModifiedBy>
  <cp:revision>2</cp:revision>
  <dcterms:created xsi:type="dcterms:W3CDTF">2026-09-14T01:41:00Z</dcterms:created>
  <dcterms:modified xsi:type="dcterms:W3CDTF">2026-09-14T01:41:00Z</dcterms:modified>
</cp:coreProperties>
</file>