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7394"/>
      </w:tblGrid>
      <w:tr w:rsidR="002C1B55" w:rsidRPr="00483ED3" w14:paraId="4D1E4C00" w14:textId="77777777" w:rsidTr="002C1B55">
        <w:trPr>
          <w:trHeight w:val="863"/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CC01FC" w14:textId="7ABD6B24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名稱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(20字內</w:t>
            </w:r>
            <w:r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，限使用中文或英文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)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4EFC0" w14:textId="0B47D9B1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主動台灣焦點主題</w:t>
            </w:r>
          </w:p>
        </w:tc>
      </w:tr>
      <w:tr w:rsidR="002C1B55" w:rsidRPr="00483ED3" w14:paraId="053B1821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67F22" w14:textId="4B78E713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投資主題（50字內）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7FABD" w14:textId="5E771A3D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AI Agent 依公開事件集中持有 10 至 12 檔高信心台股，追求明顯偏離大盤的超額報酬</w:t>
            </w:r>
          </w:p>
        </w:tc>
      </w:tr>
      <w:tr w:rsidR="002C1B55" w:rsidRPr="00483ED3" w14:paraId="20E1C357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95A04" w14:textId="25865961" w:rsidR="002C1B55" w:rsidRPr="00483ED3" w:rsidRDefault="002C1B55" w:rsidP="00960D43">
            <w:pPr>
              <w:rPr>
                <w:rFonts w:ascii="標楷體" w:eastAsia="標楷體" w:hAnsi="標楷體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</w:rPr>
              <w:t>ETF 投資理念（100～300字）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F35DA" w14:textId="1A36862E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本基金以「資金流向領先價格」為核心信念，以投信買超為首要訊號，搭配外資動向、相對強勢與成交量異動，於台股市值前 150 大中集中配置 10–12 檔高信心標的，其餘以大型權值股分散風險。同時追蹤美國重大事件，包括聯準會利率決策、通膨與就業數據、科技巨頭財報，以及費城半導體指數與台積電 ADR 表現，研判其對台灣供應鏈的傳導，於事件前後調整曝險。並以 Google 搜尋熱度、投資社群討論與融資變化衡量散戶關注度，作為辨識題材升溫與過熱的輔助指標。決策由 AI Agent 依可查證之公開資料逐日推論，刻意降低與主流主動式 ETF 的持股重疊以追求差異化報酬，並嚴守單檔、現金與檔數上限。</w:t>
            </w:r>
          </w:p>
        </w:tc>
      </w:tr>
    </w:tbl>
    <w:p w14:paraId="5145DE34" w14:textId="77777777" w:rsidR="00534563" w:rsidRDefault="00534563">
      <w:pPr>
        <w:rPr>
          <w:lang w:eastAsia="zh-TW"/>
        </w:rPr>
      </w:pPr>
    </w:p>
    <w:p>
      <w:pPr>
        <w:keepNext/>
        <w:spacing w:before="280" w:after="80"/>
      </w:pPr>
      <w:r>
        <w:rPr>
          <w:rFonts w:ascii="微軟正黑體" w:hAnsi="微軟正黑體" w:eastAsia="微軟正黑體"/>
          <w:b/>
          <w:color w:val="1F4E79"/>
          <w:sz w:val="28"/>
        </w:rPr>
        <w:t>補充說明</w:t>
      </w: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8"/>
        </w:rPr>
        <w:t>以下內容補充說明上表的宣告，並標示每段宣告將如何出現在每日 D-Plan（market_view、inferences、decisions）。</w:t>
      </w: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一、投組結構：集中的高信心部位＋湊檔數部位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每日由程式從 150 檔篩出約 30 檔候選（投信 5／10 日淨買超、20 日相對強度、成交值放大，並對主動型 ETF 重疊扣分），AI Agent 閱讀月營收、財報、法說會、投信連買與重大訊息後挑出 10–12 檔高信心股票並給信心等級，程式換算為 8%／5.5% 的集中部位；其餘以市值前 30 大中與主動型 ETF 重疊較低的大型權值股小額湊足 23–24 檔持股。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部位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規則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投資範圍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台股（上市＋上櫃，限 universe_150）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高信心部位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10–12 檔，由 AI Agent 從候選池挑選並給信心等級：高 = 8%、中 = 5.5%（2330：高 15%、中 10%）；名目權重合計過大時等比例縮小、過小時在上限內等比例放大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單檔上限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8%（官方 10%，留 2% 給價格漂移：買進當天漲停且淨值下跌仍不超過 10%），2330 為 20%（官方 25%）；前日收盤超過 9.5%（2330 22%）當日減回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湊檔數部位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市值前 30 大、且不在高信心名單者，取市值最大的若干檔各 1%–2%，使總持股 23–24 檔（官方 20–30；內部至少比 20 檔多 3 檔緩衝）；出現在超過 50% 主動型 ETF 前 15 大的股票排在後面（低重疊優先）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目標 3%，區間 2%–5%；委託後預估現金比 ≥ 2% ＋ 0.03 × 買進金額占淨值（成交均價可能高於前日收盤），不足時等比例縮減買進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我方前 15 大 vs 每檔主動型 ETF 前 15 大，官方 ≥ 15%、內部目標 ≥ 20%；不足時先把重疊的湊檔股換成不重疊者，再把重疊最大的高信心部位每次降 1.5%（最低 3%）；仍不足則退回 Agent 換股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硬規則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前日收盤 &lt; 17% → 當日強制再平衡到 ≥ 20%；前日收盤已 &lt; 15% → 當日補到 ≥ 25%，避免連續 2 日低於官方門檻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交易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每日依名單重算目標權重；既有持股差距 &lt; 1.5%（無交易帶）不交易；單日異動超過 60 檔（schema 上限）時分兩天完成；BUY/ADD 的目標權重以前日收盤 ×1.10（漲停）壓力測試仍須 ≤ 10%（2330 ≤ 25%）；前日結算權重 &gt; 9.5%（2330 &gt; 24%）的被動超限部位當日強制減碼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decisions：target_weight 由信心等級機械換算（高 8%／中 5.5%），湊檔股各 1–2%；委託一律由官方公式 derive_orders 推導，Agent 不決定權重或股數。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inferences：每檔高信心部位一則推論（引用 Agent 選的 observation）；湊檔數部位一則推論（引用 filler_universe）；未偏離無交易帶者以「差距在無交易帶內」推論寫入 no_trade_decisions。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market_view：posture 與現金區間由實際委託推得，不由 Agent 自填；regime／stance 須與淨買賣方向一致。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二、超額來源：候選池＋AI Agent 依公開事件選股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程式每日從 150 檔用資料篩出候選池，Agent 只能從候選池（或目前名單）挑選；候選分數負責排序，入選理由必須是具名的公開資訊。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候選池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設定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檔數與流動性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每日約 30 檔；20 日均成交值 ≥ 3 億（8% 部位約 8000 萬，低於日成交值的 27%）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分數組成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投信近 5 日淨買超占成交值 ×0.2、近 10 日 ×0.2；20 日相對強度 ×0.3；成交值放大（5 日／20 日均量）×0.15（皆為橫斷面 z 分數）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差異化扣分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減去 1.0 × 出現在主動型 ETF 前 15 大的比例：越多主動型 ETF 重押的股票分數越低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固定列入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2330：重疊扣分會讓它永遠排不進前 30 名，但宣告允許 Agent 選它（上限 20%）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入選依據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資料來源（authority）</w:t>
            </w:r>
          </w:p>
        </w:tc>
        <w:tc>
          <w:tcPr>
            <w:tcW w:type="dxa" w:w="6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例子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財報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營收／毛利率／EPS 相對前期或市場預期明顯轉強或轉弱；存貨、應收帳款或現金流出現異常變化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法說會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mops、media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管理層上修／下修展望、資本支出或產能計畫；法說會揭露的訂單能見度或客戶需求變化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月營收年增率或月增率連續加速／轉弱；創單月歷史新高或明顯低於近期趨勢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投信連續買賣超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twse、tpex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投信連續多個交易日淨買超（或淨賣超），且金額占成交值比重明顯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重大訊息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重大合約、增資／減資、處分資產、訴訟、董監持股異動等公告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宣告因子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因子</w:t>
            </w:r>
          </w:p>
        </w:tc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角色</w:t>
            </w:r>
          </w:p>
        </w:tc>
        <w:tc>
          <w:tcPr>
            <w:tcW w:type="dxa" w:w="63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用法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投信買超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首要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首要訊號：投信 5／10 日淨買超（成交值標準化）與連續買超天數，進入候選分數並可作為入選依據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外資動向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輔助（排序）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三大法人整體買賣超（市場級 observation），輔助判斷 regime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相對強勢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輔助（排序）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 日報酬相對 150 檔中位數，只作候選排序，不能單獨作為入選依據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成交量異動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輔助（排序）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近 5 日均成交值相對 20 日均的放大倍數，只作候選排序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美國重大事件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風險疊加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FOMC 利率決策、CPI、PCE、非農就業、科技巨頭財報（NVIDIA／Apple／Microsoft／Alphabet／Amazon／Meta／AMD）、美國大選，以及費城半導體指數與台積電 ADR 收盤（us_overnight）。事件前 1 日與當日降低新建倉；FOMC、NVIDIA 財報、美國大選的前一交易日由程式強制不新增、不升級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美國利率與市場波動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風險疊加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FRED 日資料 DGS2（2 年期公債殖利率）、DFF（聯邦基金有效利率）、VIXCLS（VIX）、T10Y2Y（10Y−2Y 利差）；VIX &gt; 25 或 DGS2 單日變動 &gt; 15bp 視為風險訊號：regime 不判 risk_on、降低新建倉。歷史資料以 ALFRED（realtime_start／realtime_end）取當時版本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散戶關注度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輔助（只升降一級）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Google 搜尋熱度、投資社群討論、融資變化，用來辨識題材升溫與過熱；只能把個股信心升或降一級（medium↔high），不單獨觸發買賣、不能作為 picks 的 basis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Agent 的輸出與程式檢查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每一檔 picks 必須引用至少一則 observation，其 ticker 為該股、topic 為所宣告的依據 id、source.authority 屬於該依據允許的來源，且 content_as_of 不晚於決策日 19:30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只能從當日候選池（約 30 檔）或目前的高信心名單中挑選；2330 一律列入候選表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候選分數（candidate_screen）含股價相對強度，只能作為排序參考與輔助引用，不能單獨作為入選依據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停損股票若要保留，必須引用今日新出現的正面事件（財報、法說會、月營收、重大訊息）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Agent 不得輸出權重、股數、委託或 posture；輸出不合格會被退回重寫，最多 3 次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信心等級：高信心：配置 8%（2330 為 15%）；中信心：配置 5.5%（2330 為 10%）。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observations：candidate_screen（候選分數與組成，排序用）、trust_flow（投信 5／10 日淨買超、連買天數）以及月營收、財報、法說會、重大訊息事件；topic 與依據 id 相同，來源 authority 如上表。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inferences：每檔高信心部位的 premise_refs 指向該股的依據 observation，logic 說明「事實 → 為何高／中信心 → 與主題的關係」，counter_evidence 寫反方訊號；主動移出者另有一則移出推論。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三、換股紀律（程式強制，違反就退回 Agent 重寫）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遲滯：已持有且仍在候選池前 30 名者預設續抱；要移出必須在 exits 引用該股今日的依據事實（財報、法說會、月營收、投信、重大訊息），候選分數或股價變動不構成移出理由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高信心部位持有 ≥ 3 個交易日才可賣出或降級（觸發停損除外）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每日最多新增 4 檔、主動移出 4 檔（首次建倉不受限；停損出場不計入）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還原價相對成本（進場日成交均價）下跌超過 12%，且當日沒有新的正面事件 → 出場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FOMC 利率決議、NVIDIA 財報、美國大選（config/event_calendar.json）的前一交易日：不新增部位、不升級，既有部位凍結（停損與漂移保護照常）；其他美國重大事件（CPI、PCE、非農就業、其他科技巨頭財報）的前 1 日與當日由 Agent 降低新建倉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名單與信心等級沒有新證據就續抱；每次換股往返成本約 0.6%，候選分數變動不是換股理由。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狀態（名單、進場日、引用證據）存於 runs/state/conviction.json，隔日重建成 observation，續抱的推論可重新引用原證據。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初賽期間美國重大事件（美國時間）</w:t>
            </w:r>
          </w:p>
        </w:tc>
        <w:tc>
          <w:tcPr>
            <w:tcW w:type="dxa" w:w="4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處理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2026-10-28 FOMC 利率決議（待核對）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前一交易日不新增、不升級，既有部位凍結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2026-11-03 美國期中選舉（待核對）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前一交易日不新增、不升級，既有部位凍結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2026-11-18 NVIDIA FY2027 Q3 財報（推估）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前一交易日不新增、不升級，既有部位凍結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18"/>
        </w:rPr>
        <w:t>CPI、PCE、非農就業與 Apple／Microsoft／Alphabet／Amazon／Meta／AMD 財報日，於主辦方初賽開始前依官方公告補入事件表（config/event_calendar.json，每筆附官方來源網址），事件前 1 日與當日降低新建倉。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observations：position_pnl（持有天數、相對成本報酬）與 event_calendar（事件排程）。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inferences：停損出場以 position_pnl 為前提；事件前一交易日的 no_trade 推論引用 event_calendar。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decisions：停損 → SELL_ALL；未滿 3 日者不會出現在賣出；事件前一交易日不會出現 BUY。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四、代理回測摘要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LLM 無法回測，以「候選池分數前 11 名（前 5 名高、其餘中；已持有且名次 ≤ 30 者續抱）」代替 Agent 選股，其餘規則與實盤同一套程式。自 2025-04-01 起每 2 個交易日一個起點、每段 24 個交易日（初賽約 24 日）、從 10 億現金建倉，計算相對「市值加權上限基準（2330 ≤ 20%、其他 ≤ 8%）」的超額報酬分布。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c>
          <w:tcPr>
            <w:tcW w:type="dxa" w:w="2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24 日窗口</w:t>
            </w:r>
          </w:p>
        </w:tc>
        <w:tc>
          <w:tcPr>
            <w:tcW w:type="dxa" w:w="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窗口數</w:t>
            </w:r>
          </w:p>
        </w:tc>
        <w:tc>
          <w:tcPr>
            <w:tcW w:type="dxa" w:w="1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P(超額 &gt; +5%)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P(&gt; +10%)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P(&lt; −10%)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平均超額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 MDD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單檔 &gt; 10%（天）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預設（遲滯續抱，高 8%／中 5.5%）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22%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 xml:space="preserve">　其中樣本外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-5.6%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敏感度：嚴格前 11 名（不續抱）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-1.4%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敏感度：2330 固定高信心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對照：舊權重 9%／6%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79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對照：合規基準 A（降級保底）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預設版 24 日超額 5%～95% 區間為 -12.3% ～ +11.4%，平均換手 2.0 倍、費用與證交稅平均 1.1%：集中策略確實拉大與大盤的偏離，但左尾同樣變厚；不續抱、每天追逐候選名次的版本換手更高、結果更差，所以規則以「沒有新證據就續抱」為預設。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樣本外（窗口起點 ≥ 2026-08-01）只有 11 個彼此重疊的窗口，平均超額 -5.9%；顯示策略的勝負高度依賴選股是否抓到當期主流。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違規檢查（逐日期末）：持股檔數 0、現金 0、Active Share &lt; 15% 共 0 天；單檔超過 10% 的 15 天中，買進當日即超過者 0 天，其餘為持有中的價格漂移，隔日減回（官方給 5 個交易日調整）。高信心權重由 9% 下修為 8%，就是為了降低「買進當日收盤超過 10%」被認定為加碼違規的風險。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名單偏誤：150 檔是 2026 年 7 月底依市值選出，之前的回測有前視與倖存者偏誤，動能／籌碼分數尤其容易買到事後的贏家；主動型 ETF 持股用 2026-10-07、2026-10-08 的真實前 15 大快照。回測不證明 Agent 能創造超額報酬，只能檢驗規則與成本。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market_view.counter_evidence 與 inferences.counter_evidence：誠實寫出反方訊號；confidence 不得高於證據所能支持的程度。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no_trade_decisions：沒有新證據或差距在無交易帶內的持股一律寫入，並引用對應推論。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五、降級保底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Agent 連續 3 次輸出未通過檢查時：若已有高信心名單 → 凍結（沿用現有部位，只做停損與漂移保護）；若尚無名單或凍結也不合規 → 改用合規基準 A（舊版正式策略，零 tilt）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19"/>
        </w:rPr>
        <w:t>合規基準 A：投資範圍內『有當日價格且 20 日均成交值 ≥ 2 億』的股票，以市值（還原收盤價 × 發行股數）加權，2330 權重上限 20%、其他個股上限 8%（超額按市值比例重分配）；取權重最大的前 28 檔重新歸一；現金 3%；再以最小調整法（只動 1–3 檔重疊最大的標的，減下的權重分給第 16–28 名）把 Active Share 補到 ≥ 22%（官方門檻 15%，前 15 大口徑）。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market_view：降級日 regime／stance 為 neutral，logic 說明降級原因與方式（凍結或合規基準 A）。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inferences／decisions：凍結時沿用原名單的推論並重新引用原證據；改用合規基準 A 時以「依合規基準 A 配置」為推論。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六、每日 D-Plan 與本文件的對照檢查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本文件的宣告</w:t>
            </w:r>
          </w:p>
        </w:tc>
        <w:tc>
          <w:tcPr>
            <w:tcW w:type="dxa" w:w="5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每日 D-Plan 對應欄位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程式檢查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投資主題：集中持有 10–12 檔高信心股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decisions.target_weight（高 8%／中 5.5%）；inferences 每檔一則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投資理念：依公開事件選股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observations.topic ∈ 五種依據；inferences 引用該 observation；decisions 引用 inference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conviction_agent.check_picks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每檔須有具名來源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sources.authority 與 content_as_of；observations.source_ref；dplan_validate C1（引用鏈不可斷）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持有 3 日、每日換 4 檔、停損 12%、事件前一日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position_pnl／event_calendar observation；SELL_ALL 與 BUY 的時點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conviction.discipline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≥ 20%（官方 15%）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target_weight 已通過 Active Share 檢查才進入 decisions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現金與曝險承諾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market_view.posture 由實際委託推得；dplan_validate C12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plan.posture_for／validate()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紀律：無證據不動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no_trade_decisions 涵蓋所有未異動持股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dplan_validate 覆蓋檢查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7"/>
        </w:rPr>
        <w:t>宣告版本 2.3.0（status = final）。策略改版（v2.0.0；v2.1.0 權重下修為 8%／5.5%、預設遲滯續抱、改用真實前 15 大；v2.2.0 總持股 23–24 檔、湊檔低重疊優先；v2.3.0 改名「主動台灣焦點主題」、新理念「資金流向領先價格」、宣告因子加入美國重大事件／美國利率與市場波動／散戶關注度）：由「市值基準 ±3% 小幅加減碼」改為「集中主題＋事件驅動」。修改任何欄位＝改版，agent_metadata.code_version 需對應新的 git commit；portfolio_rules／candidate_rules／fallback.portfolio_rules 必須與 ConvictionParams／CandidateParams／FinalParams 一致（有測試）。</w:t>
      </w:r>
    </w:p>
    <w:sectPr w:rsidR="00534563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DDE84" w14:textId="77777777" w:rsidR="00F61EE6" w:rsidRDefault="00F61EE6" w:rsidP="002C1B55">
      <w:pPr>
        <w:spacing w:after="0" w:line="240" w:lineRule="auto"/>
      </w:pPr>
      <w:r>
        <w:separator/>
      </w:r>
    </w:p>
  </w:endnote>
  <w:endnote w:type="continuationSeparator" w:id="0">
    <w:p w14:paraId="6B12B57A" w14:textId="77777777" w:rsidR="00F61EE6" w:rsidRDefault="00F61EE6" w:rsidP="002C1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33354" w14:textId="77777777" w:rsidR="00F61EE6" w:rsidRDefault="00F61EE6" w:rsidP="002C1B55">
      <w:pPr>
        <w:spacing w:after="0" w:line="240" w:lineRule="auto"/>
      </w:pPr>
      <w:r>
        <w:separator/>
      </w:r>
    </w:p>
  </w:footnote>
  <w:footnote w:type="continuationSeparator" w:id="0">
    <w:p w14:paraId="44829D75" w14:textId="77777777" w:rsidR="00F61EE6" w:rsidRDefault="00F61EE6" w:rsidP="002C1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BB255" w14:textId="2F882E2D" w:rsidR="002C1B55" w:rsidRPr="002C1B55" w:rsidRDefault="00180810" w:rsidP="002C1B55">
    <w:pPr>
      <w:pStyle w:val="af"/>
      <w:jc w:val="center"/>
      <w:rPr>
        <w:rFonts w:ascii="標楷體" w:eastAsia="標楷體" w:hAnsi="標楷體"/>
        <w:sz w:val="24"/>
        <w:szCs w:val="24"/>
      </w:rPr>
    </w:pPr>
    <w:r>
      <w:rPr>
        <w:rFonts w:ascii="標楷體" w:eastAsia="標楷體" w:hAnsi="標楷體" w:hint="eastAsia"/>
        <w:sz w:val="24"/>
        <w:szCs w:val="24"/>
        <w:lang w:eastAsia="zh-TW"/>
      </w:rPr>
      <w:t>參賽隊伍</w:t>
    </w:r>
    <w:r w:rsidR="002C1B55" w:rsidRPr="002C1B55">
      <w:rPr>
        <w:rFonts w:ascii="標楷體" w:eastAsia="標楷體" w:hAnsi="標楷體" w:hint="eastAsia"/>
        <w:sz w:val="24"/>
        <w:szCs w:val="24"/>
        <w:lang w:eastAsia="zh-TW"/>
      </w:rPr>
      <w:t>請以此格式繳交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55"/>
    <w:rsid w:val="00180810"/>
    <w:rsid w:val="002C1B55"/>
    <w:rsid w:val="003A13CE"/>
    <w:rsid w:val="00534563"/>
    <w:rsid w:val="006E4707"/>
    <w:rsid w:val="00AC49E2"/>
    <w:rsid w:val="00EE45D1"/>
    <w:rsid w:val="00F6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70632"/>
  <w15:chartTrackingRefBased/>
  <w15:docId w15:val="{733981A2-44FA-4E7E-8A68-B5AF44F73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B55"/>
    <w:pPr>
      <w:spacing w:after="200" w:line="276" w:lineRule="auto"/>
    </w:pPr>
    <w:rPr>
      <w:rFonts w:ascii="微軟正黑體" w:eastAsia="微軟正黑體" w:hAnsi="微軟正黑體"/>
      <w:kern w:val="0"/>
      <w:sz w:val="21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C1B55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8"/>
      <w:szCs w:val="48"/>
      <w:lang w:eastAsia="zh-TW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B55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32"/>
      <w:szCs w:val="32"/>
      <w:lang w:eastAsia="zh-TW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zh-TW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B55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C1B5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C1B5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C1B55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C1B5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C1B55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1B55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2C1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B55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TW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2C1B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B55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4"/>
      <w:szCs w:val="24"/>
      <w:lang w:eastAsia="zh-TW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2C1B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B55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zh-TW"/>
      <w14:ligatures w14:val="standardContextual"/>
    </w:rPr>
  </w:style>
  <w:style w:type="character" w:styleId="aa">
    <w:name w:val="Intense Emphasis"/>
    <w:basedOn w:val="a0"/>
    <w:uiPriority w:val="21"/>
    <w:qFormat/>
    <w:rsid w:val="002C1B5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B55"/>
    <w:pPr>
      <w:widowControl w:val="0"/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2C1B5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C1B55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59"/>
    <w:rsid w:val="002C1B5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  <w:style w:type="paragraph" w:styleId="af1">
    <w:name w:val="footer"/>
    <w:basedOn w:val="a"/>
    <w:link w:val="af2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潘皓天17786</dc:creator>
  <cp:keywords/>
  <dc:description/>
  <cp:lastModifiedBy>潘皓天17786</cp:lastModifiedBy>
  <cp:revision>2</cp:revision>
  <dcterms:created xsi:type="dcterms:W3CDTF">2026-09-14T01:41:00Z</dcterms:created>
  <dcterms:modified xsi:type="dcterms:W3CDTF">2026-09-14T01:41:00Z</dcterms:modified>
</cp:coreProperties>
</file>