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10224" w:type="dxa"/>
        <w:jc w:val="center"/>
        <w:tblLayout w:type="fixed"/>
        <w:tblLook w:val="04A0" w:firstRow="1" w:lastRow="0" w:firstColumn="1" w:lastColumn="0" w:noHBand="0" w:noVBand="1"/>
      </w:tblPr>
      <w:tblGrid>
        <w:gridCol w:w="2830"/>
        <w:gridCol w:w="7394"/>
      </w:tblGrid>
      <w:tr w:rsidR="002C1B55" w:rsidRPr="00483ED3" w14:paraId="4D1E4C00" w14:textId="77777777" w:rsidTr="002C1B55">
        <w:trPr>
          <w:trHeight w:val="863"/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CC01FC" w14:textId="7ABD6B24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名稱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(20字內</w:t>
            </w:r>
            <w:r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，限使用中文或英文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)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4EFC0" w14:textId="0B47D9B1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主動台灣核心優選 AI</w:t>
            </w:r>
          </w:p>
        </w:tc>
      </w:tr>
      <w:tr w:rsidR="002C1B55" w:rsidRPr="00483ED3" w14:paraId="053B1821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67F22" w14:textId="4B78E713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投資主題（50字內）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7FABD" w14:textId="5E771A3D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市值加權核心，由 AI Agent 依公開資訊做小幅加減碼</w:t>
            </w:r>
          </w:p>
        </w:tc>
      </w:tr>
      <w:tr w:rsidR="002C1B55" w:rsidRPr="00483ED3" w14:paraId="20E1C357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195A04" w14:textId="25865961" w:rsidR="002C1B55" w:rsidRPr="00483ED3" w:rsidRDefault="002C1B55" w:rsidP="00960D43">
            <w:pPr>
              <w:rPr>
                <w:rFonts w:ascii="標楷體" w:eastAsia="標楷體" w:hAnsi="標楷體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</w:rPr>
              <w:t>ETF 投資理念（100～300字）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F35DA" w14:textId="1A36862E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本 ETF 以台股 150 檔投資範圍內市值最大的 28 檔為市值加權核心（2330 ≤ 20%、個股 ≤ 8%），貼近大盤風險報酬並控管集中度；AI Agent 每日閱讀財報、法說會、月營收、投信連續買賣超與重大訊息，對個股做單檔 ±3%、總偏離 ≤ 15% 的小幅加減碼，每筆都須引用具名公開資訊，tilt 最短持有 5 個交易日，沒有證據就維持基準。同時與主動型 ETF 前十大持股保持 Active Share ≥ 22%，追求低回檔與紀律化的超額報酬。</w:t>
            </w:r>
          </w:p>
        </w:tc>
      </w:tr>
    </w:tbl>
    <w:p w14:paraId="5145DE34" w14:textId="77777777" w:rsidR="00534563" w:rsidRDefault="00534563">
      <w:pPr>
        <w:rPr>
          <w:lang w:eastAsia="zh-TW"/>
        </w:rPr>
      </w:pPr>
    </w:p>
    <w:p>
      <w:pPr>
        <w:keepNext/>
        <w:spacing w:before="280" w:after="80"/>
      </w:pPr>
      <w:r>
        <w:rPr>
          <w:rFonts w:ascii="微軟正黑體" w:hAnsi="微軟正黑體" w:eastAsia="微軟正黑體"/>
          <w:b/>
          <w:color w:val="1F4E79"/>
          <w:sz w:val="28"/>
        </w:rPr>
        <w:t>補充說明</w:t>
      </w: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8"/>
        </w:rPr>
        <w:t>以下內容補充說明上表的宣告，並標示每段宣告將如何出現在每日 D-Plan（market_view、inferences、decisions）。</w:t>
      </w: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一、主體：市值加權的合規基準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投資範圍內『有當日價格且 20 日均成交值 ≥ 2 億』的股票，以市值（還原收盤價 × 發行股數）加權，2330 權重上限 20%、其他個股上限 8%（超額按市值比例重分配）；取權重最大的前 28 檔重新歸一；現金 3%；再以最小調整法（只動 1–3 檔重疊最大的標的，減下的權重分給第 16–28 名）把 Active Share 補到 ≥ 22%（官方門檻 15%，前 15 大口徑）。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項目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規則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投資範圍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台股（上市＋上櫃，限 universe_150）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持股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基準取前 28 檔；持股維持 20–30 檔（內部上限 29 檔，保留 1 檔給停牌賣不掉的部位）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個股上限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基準：2330 ≤ 20%、其他 ≤ 8%；加減碼後：2330 ≤ 22%、其他 ≤ 8.5%（官方上限 25%／10%，留出價格漂移空間）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目標 3%，區間 1%–22%；委託後預估現金比不得低於 2%（不足時按比例縮減買進）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我方前 15 大持股與任一主動型 ETF 前 15 大持股的 Active Share 目標 ≥ 22%（官方門檻 15%，低於且連續 2 日取消資格）。基準權重不足時，先用最小調整法（只動 1–3 檔重疊最大的標的，減下的權重分給第 16–28 名），不夠再逐步放寬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硬規則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前日收盤 Active Share &lt; 17% → 當日必須再平衡到 ≥ 22%，不受無交易帶與 5 日週期限制；前日收盤已經 &lt; 15% → 當日補到 ≥ 29%，避免連續 2 日低於官方門檻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漂移保護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前日收盤權重 2330 &gt; 24% 或其他個股 &gt; 9% → 當日提前再平衡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再平衡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 5 個交易日一次；無交易帶 2%（權重差距在帶內不交易，避免往返約 0.6% 的成本）；Agent 的 tilt 與前一日不同、或漂移保護觸發時，當天可以交易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market_view：以名單整體表現（tw_market）、法人買賣超（inst_flow）、台指期夜盤（taifex_night）、美股／ADR（us_overnight）等市場級 observation 為 basis_refs，說明 regime／stance；posture 與現金區間由實際委託推得，不由 Agent 自填。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inferences：再平衡日以「依合規基準（市值加權、2330 ≤ 20%、個股 ≤ 8%、取前 28 檔、Active Share ≥ 22%）重新計算目標權重，偏離無交易帶者才調整」為推論；非再平衡日或差距在無交易帶內者，以「基準權重未偏離無交易帶」為推論，並寫入 no_trade_decisions。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decisions／orders：target_weight 為基準權重加上有效 tilt；委託一律由官方公式 derive_orders 機械推導，Agent 不決定股數。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二、超額來源：Agent 依公開資訊的小幅加減碼（tilt）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AI Agent 只在有具名公開資訊時，才在基準權重上做加碼或減碼；它不決定權重或股數，只提出『哪一檔、方向、依據、理由』，金額上限與所有風控由程式檢查。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tilt 依據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資料來源（authority）</w:t>
            </w:r>
          </w:p>
        </w:tc>
        <w:tc>
          <w:tcPr>
            <w:tcW w:type="dxa" w:w="6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例子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財報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營收／毛利率／EPS 相對前期或市場預期明顯轉強或轉弱；存貨、應收帳款或現金流出現異常變化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法說會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mops、media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管理層上修／下修展望、資本支出或產能計畫；法說會揭露的訂單能見度或客戶需求變化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月營收年增率或月增率連續加速／轉弱；創單月歷史新高或明顯低於近期趨勢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投信連續買賣超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twse、tpex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投信連續多個交易日淨買超（或淨賣超），且金額占成交值比重明顯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重大訊息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重大合約、增資／減資、處分資產、訴訟、董監持股異動等公告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紀律（程式強制，違反就退回重寫）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單檔 |tilt| ≤ 3%；全部 tilt 的主動偏離 Σ|tilt|/2 ≤ 15%；可加入基準前 28 名以外、投資範圍內的股票，但持股維持 20–30 檔。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每筆 tilt 必須引用至少一則「該股、屬於所宣告依據、來源 authority 符合上表、且發布時間早於決策日 19:30」的 observation；禁止以股價走勢、傳聞或無來源消息為依據。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tilt 最短持有 5 個交易日：未滿期間只有「新事件且方向相反」才可提前撤銷、縮小或反向，不可同方向加碼；無新事件時一律沿用前一日 tilt。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沒有足夠證據就不做 tilt（維持基準權重、寫入 no_trade_decisions）。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tilt 套用後重新檢查單檔上限、現金、持股檔數與 Active Share；不合格時依序縮放、截斷或修正，必要時退回 Agent 重寫（最多 3 次，仍不合格則降級為零 tilt 的保底方案）。</w:t>
      </w: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低回檔與紀律化如何落實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核心部位跟隨市值加權基準，tilt 的總偏離與單檔幅度都有明確上限，即使 Agent 判斷失誤，損失也有界。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個股與 2330 的上限、3% 現金、委託後現金比 ≥ 2% 的檢查，限制了集中度與被迫賣出的風險。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無交易帶與 5 日再平衡避免追價與過度交易；tilt 最短持有 5 日避免因單日雜訊來回切換。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observations：每一種 tilt 依據在 D-Plan 的 topic 與依據 id 相同——financial_report（財報）、investor_conference（法說會）、monthly_revenue（月營收）、trust_flow（投信連續買賣超）、material_news（重大訊息）；來源 authority 如上表。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inferences：每筆 tilt 一則推論，premise_refs 指向上述 observation，logic 說明『事實 → 為何支持加碼／減碼 → 與本 ETF 主題的關係』，counter_evidence 寫反方訊號；沿用中的 tilt 以「沿用 YYYY-MM-DD 起的○○ tilt ±x%…今日沒有新事件推翻」為推論，並重新引用原事件。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decisions：有 tilt 的個股，decision 引用該 tilt 的推論；撤銷 tilt 時推論說明相反的新事件。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market_view：regime／stance 須與實際操作方向相符（宣告 defensive 卻淨買超、或 aggressive 卻淨賣超會被退回）；counter_evidence 寫明降級條件。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主要選股因子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類別</w:t>
            </w:r>
          </w:p>
        </w:tc>
        <w:tc>
          <w:tcPr>
            <w:tcW w:type="dxa" w:w="7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本 ETF 使用的因子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事件／資訊</w:t>
            </w:r>
          </w:p>
        </w:tc>
        <w:tc>
          <w:tcPr>
            <w:tcW w:type="dxa" w:w="7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財報公告、月營收、法說會、重大訊息（以上來自公開資訊觀測站）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籌碼</w:t>
            </w:r>
          </w:p>
        </w:tc>
        <w:tc>
          <w:tcPr>
            <w:tcW w:type="dxa" w:w="7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投信連續買賣超（三大法人中僅用投信；證交所／櫃買中心公布）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風險控管</w:t>
            </w:r>
          </w:p>
        </w:tc>
        <w:tc>
          <w:tcPr>
            <w:tcW w:type="dxa" w:w="7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個股與 2330 權重上限、現金下限、Active Share 下限、tilt 總偏離上限、無交易帶、漂移保護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基準</w:t>
            </w:r>
          </w:p>
        </w:tc>
        <w:tc>
          <w:tcPr>
            <w:tcW w:type="dxa" w:w="7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市值（還原收盤價 × 發行股數）加權；市場級背景資訊（名單整體表現、法人、夜盤、美股）僅用於 market_view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8"/>
        </w:rPr>
        <w:t>本 ETF 不使用價格動能或技術指標作為 tilt 依據。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inferences：每筆 tilt 的推論引用上表因子對應的 observation（topic 即依據 id），conclusion 標明依據名稱（財報、月營收、法說會、投信連續買賣超、重大訊息）；沒有引用上述因子事實的 tilt 不會通過檢查，也不會出現在 decisions。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market_view：市場級背景（名單整體、法人、夜盤、美股）只作為 regime／stance 的依據，不作為個股 tilt 的依據。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三、回測摘要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資料期間 2025-01-02 ～ 2026-10-05。投資範圍 150 檔名單是 2026 年 7 月底以市值選出，因此 2026-08-01 之前的回測有前視與倖存者偏誤，只能用來比較參數的相對優劣；本表只列樣本外（2026-08-01 起，44 個交易日）。基準與策略皆含同樣的名單偏誤，所以看相對基準的差異比看絕對報酬可靠。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3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樣本外</w:t>
            </w:r>
          </w:p>
        </w:tc>
        <w:tc>
          <w:tcPr>
            <w:tcW w:type="dxa" w:w="1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報酬</w:t>
            </w:r>
          </w:p>
        </w:tc>
        <w:tc>
          <w:tcPr>
            <w:tcW w:type="dxa" w:w="1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最大回檔</w:t>
            </w:r>
          </w:p>
        </w:tc>
        <w:tc>
          <w:tcPr>
            <w:tcW w:type="dxa" w:w="15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Active Share 最低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年換手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150 檔等權（基準 a）</w:t>
            </w:r>
          </w:p>
        </w:tc>
        <w:tc>
          <w:tcPr>
            <w:tcW w:type="dxa" w:w="1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+22.1%</w:t>
            </w:r>
          </w:p>
        </w:tc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-5.0%</w:t>
            </w:r>
          </w:p>
        </w:tc>
        <w:tc>
          <w:tcPr>
            <w:tcW w:type="dxa" w:w="15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市值加權上限（基準 b）</w:t>
            </w:r>
          </w:p>
        </w:tc>
        <w:tc>
          <w:tcPr>
            <w:tcW w:type="dxa" w:w="1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+20.8%</w:t>
            </w:r>
          </w:p>
        </w:tc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-4.3%</w:t>
            </w:r>
          </w:p>
        </w:tc>
        <w:tc>
          <w:tcPr>
            <w:tcW w:type="dxa" w:w="15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本 ETF 基準（無 tilt）</w:t>
            </w:r>
          </w:p>
        </w:tc>
        <w:tc>
          <w:tcPr>
            <w:tcW w:type="dxa" w:w="1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+19.5%</w:t>
            </w:r>
          </w:p>
        </w:tc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-4.7%</w:t>
            </w:r>
          </w:p>
        </w:tc>
        <w:tc>
          <w:tcPr>
            <w:tcW w:type="dxa" w:w="15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21.9%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1.3x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本 ETF＋隨機 tilt（平均，模擬 Agent 雜訊 ×100）</w:t>
            </w:r>
          </w:p>
        </w:tc>
        <w:tc>
          <w:tcPr>
            <w:tcW w:type="dxa" w:w="1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+19.1%</w:t>
            </w:r>
          </w:p>
        </w:tc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-4.8%</w:t>
            </w:r>
          </w:p>
        </w:tc>
        <w:tc>
          <w:tcPr>
            <w:tcW w:type="dxa" w:w="15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20.4%（最低）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4.3x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 xml:space="preserve">　└ 5%～95% 區間</w:t>
            </w:r>
          </w:p>
        </w:tc>
        <w:tc>
          <w:tcPr>
            <w:tcW w:type="dxa" w:w="1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+17.4% ～ +20.7%</w:t>
            </w:r>
          </w:p>
        </w:tc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最差 -5.4%</w:t>
            </w:r>
          </w:p>
        </w:tc>
        <w:tc>
          <w:tcPr>
            <w:tcW w:type="dxa" w:w="15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隨機 tilt（每次 5 檔、±1～3%）沒有資訊含量，反映的是『Agent 判斷失誤的成本』：樣本外相對市值加權上限基準平均 -1.7%（5%～95%：-3.4% ～ -0.1%），最大回檔平均 -4.8%，與基準相近，損失有界。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框架檢查：100 次模擬、每日期末檢查，持股檔數違規 0、權重上限違規 0、現金比違規 0；Active Share 單日低於 15% 共 0 天、最長連續 0 日（官方取消資格條件為連續 2 日）。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壓力測試（tilt 每天都變，30 次）：樣本外平均 +17.8%，年換手 19x——tilt 頻繁變動的成本很高，因此規則要求最短持有 5 日、無新事件不變動。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回測不證明 Agent 能創造超額報酬：真實 Agent 的 tilt 有資訊含量與否，要靠初賽期間的實際表現檢驗。樣本外僅 44 個交易日，統計誤差大；Active Share 以 2026-10-11 的主動型 ETF 前 15 大持股快照近似；未計股利與除權配股（官方期末才一次加回）。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market_view.counter_evidence 與 inferences.counter_evidence：誠實寫出反方訊號；信心（confidence）不得高於證據所能支持的程度。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no_trade_decisions：沒有證據或差距在無交易帶內的持股一律寫入，並引用『基準權重未偏離無交易帶』的推論。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四、每日 D-Plan 與本文件的對照檢查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本文件的宣告</w:t>
            </w:r>
          </w:p>
        </w:tc>
        <w:tc>
          <w:tcPr>
            <w:tcW w:type="dxa" w:w="5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每日 D-Plan 對應欄位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程式檢查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投資主題：市值加權核心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market_view（basis_refs 引用 tw_market、inst_flow、taifex_night、us_overnight）；inferences（再平衡／未偏離無交易帶）；decisions.target_weight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assemble.build_doc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投資理念：依公開資訊小幅加減碼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observations.topic ∈ 五種 tilt 依據；inferences 引用該 observation；decisions 引用 inference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assemble.check_proposal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每筆 tilt 須有具名來源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sources.authority 與 content_as_of；observations.source_ref；dplan_validate C1（引用鏈不可斷）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單檔 ±3%、總偏離 ≤ 15%、最短持有 5 日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decisions.target_weight 與基準的差；沿用的 tilt 以『沿用…』推論重新引用原事件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final.apply_tilts／tilt_state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≥ 22%（官方 15%）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target_weight 已通過 Active Share 檢查才進入 decisions（不單獨列欄位）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final.ensure_active_share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現金與曝險承諾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market_view.posture 由實際委託推得；dplan_validate C12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plan.posture_for／validate()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紀律：無證據不動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no_trade_decisions 涵蓋所有未異動持股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dplan_validate 覆蓋檢查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7"/>
        </w:rPr>
        <w:t>宣告版本 1.0.0（status = final）。宣告已定案。修改任何欄位＝改版，agent_metadata.code_version 需對應新的 git commit；portfolio_rules 與 esun_agent/strategy/final.py 的 FinalParams 必須一致（有測試）。</w:t>
      </w:r>
    </w:p>
    <w:sectPr w:rsidR="00534563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DDE84" w14:textId="77777777" w:rsidR="00F61EE6" w:rsidRDefault="00F61EE6" w:rsidP="002C1B55">
      <w:pPr>
        <w:spacing w:after="0" w:line="240" w:lineRule="auto"/>
      </w:pPr>
      <w:r>
        <w:separator/>
      </w:r>
    </w:p>
  </w:endnote>
  <w:endnote w:type="continuationSeparator" w:id="0">
    <w:p w14:paraId="6B12B57A" w14:textId="77777777" w:rsidR="00F61EE6" w:rsidRDefault="00F61EE6" w:rsidP="002C1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33354" w14:textId="77777777" w:rsidR="00F61EE6" w:rsidRDefault="00F61EE6" w:rsidP="002C1B55">
      <w:pPr>
        <w:spacing w:after="0" w:line="240" w:lineRule="auto"/>
      </w:pPr>
      <w:r>
        <w:separator/>
      </w:r>
    </w:p>
  </w:footnote>
  <w:footnote w:type="continuationSeparator" w:id="0">
    <w:p w14:paraId="44829D75" w14:textId="77777777" w:rsidR="00F61EE6" w:rsidRDefault="00F61EE6" w:rsidP="002C1B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BB255" w14:textId="2F882E2D" w:rsidR="002C1B55" w:rsidRPr="002C1B55" w:rsidRDefault="00180810" w:rsidP="002C1B55">
    <w:pPr>
      <w:pStyle w:val="af"/>
      <w:jc w:val="center"/>
      <w:rPr>
        <w:rFonts w:ascii="標楷體" w:eastAsia="標楷體" w:hAnsi="標楷體"/>
        <w:sz w:val="24"/>
        <w:szCs w:val="24"/>
      </w:rPr>
    </w:pPr>
    <w:r>
      <w:rPr>
        <w:rFonts w:ascii="標楷體" w:eastAsia="標楷體" w:hAnsi="標楷體" w:hint="eastAsia"/>
        <w:sz w:val="24"/>
        <w:szCs w:val="24"/>
        <w:lang w:eastAsia="zh-TW"/>
      </w:rPr>
      <w:t>參賽隊伍</w:t>
    </w:r>
    <w:r w:rsidR="002C1B55" w:rsidRPr="002C1B55">
      <w:rPr>
        <w:rFonts w:ascii="標楷體" w:eastAsia="標楷體" w:hAnsi="標楷體" w:hint="eastAsia"/>
        <w:sz w:val="24"/>
        <w:szCs w:val="24"/>
        <w:lang w:eastAsia="zh-TW"/>
      </w:rPr>
      <w:t>請以此格式繳交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B55"/>
    <w:rsid w:val="00180810"/>
    <w:rsid w:val="002C1B55"/>
    <w:rsid w:val="003A13CE"/>
    <w:rsid w:val="00534563"/>
    <w:rsid w:val="006E4707"/>
    <w:rsid w:val="00AC49E2"/>
    <w:rsid w:val="00EE45D1"/>
    <w:rsid w:val="00F61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270632"/>
  <w15:chartTrackingRefBased/>
  <w15:docId w15:val="{733981A2-44FA-4E7E-8A68-B5AF44F73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B55"/>
    <w:pPr>
      <w:spacing w:after="200" w:line="276" w:lineRule="auto"/>
    </w:pPr>
    <w:rPr>
      <w:rFonts w:ascii="微軟正黑體" w:eastAsia="微軟正黑體" w:hAnsi="微軟正黑體"/>
      <w:kern w:val="0"/>
      <w:sz w:val="21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C1B55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8"/>
      <w:szCs w:val="48"/>
      <w:lang w:eastAsia="zh-TW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1B55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zh-TW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32"/>
      <w:szCs w:val="32"/>
      <w:lang w:eastAsia="zh-TW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3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zh-TW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1B55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C1B55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C1B5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C1B55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C1B5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C1B55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1B55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TW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2C1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1B55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TW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2C1B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1B55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 w:val="24"/>
      <w:szCs w:val="24"/>
      <w:lang w:eastAsia="zh-TW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2C1B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1B55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/>
      <w:kern w:val="2"/>
      <w:sz w:val="24"/>
      <w:szCs w:val="24"/>
      <w:lang w:eastAsia="zh-TW"/>
      <w14:ligatures w14:val="standardContextual"/>
    </w:rPr>
  </w:style>
  <w:style w:type="character" w:styleId="aa">
    <w:name w:val="Intense Emphasis"/>
    <w:basedOn w:val="a0"/>
    <w:uiPriority w:val="21"/>
    <w:qFormat/>
    <w:rsid w:val="002C1B55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1B55"/>
    <w:pPr>
      <w:widowControl w:val="0"/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2C1B55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C1B55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59"/>
    <w:rsid w:val="002C1B55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  <w:style w:type="paragraph" w:styleId="af1">
    <w:name w:val="footer"/>
    <w:basedOn w:val="a"/>
    <w:link w:val="af2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潘皓天17786</dc:creator>
  <cp:keywords/>
  <dc:description/>
  <cp:lastModifiedBy>潘皓天17786</cp:lastModifiedBy>
  <cp:revision>2</cp:revision>
  <dcterms:created xsi:type="dcterms:W3CDTF">2026-09-14T01:41:00Z</dcterms:created>
  <dcterms:modified xsi:type="dcterms:W3CDTF">2026-09-14T01:41:00Z</dcterms:modified>
</cp:coreProperties>
</file>