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主動台灣焦點主題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AI Agent 依公開事件集中持有 10 至 12 檔高信心台股，追求明顯偏離大盤的超額報酬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本基金以「資金流向領先價格」為核心信念，以投信買超為首要訊號，搭配外資動向、相對強勢與成交量異動，於台股市值前 150 大中集中配置 10–12 檔高信心標的，其餘以大型權值股分散風險。同時追蹤美國重大事件，包括聯準會利率決策、通膨與就業數據、科技巨頭財報，以及費城半導體指數與台積電 ADR 表現，研判其對台灣供應鏈的傳導，於事件前後調整曝險。並以 Google 搜尋熱度、投資社群討論與融資變化衡量散戶關注度，作為辨識題材升溫與過熱的輔助指標。決策由 AI Agent 依可查證之公開資料逐日推論，刻意降低與主流主動式 ETF 的持股重疊以追求差異化報酬，並嚴守單檔、現金與檔數上限。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一、投組結構：集中的高信心部位＋湊檔數部位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每日由程式從 150 檔篩出約 30 檔候選（投信 5／10 日淨買超、20 日相對強度、成交值放大，並對主動型 ETF 重疊扣分），AI Agent 閱讀月營收、財報、法說會、投信連買與重大訊息後挑出 10–12 檔高信心股票並給信心等級，程式換算為 8%／5.5% 的集中部位；其餘以市值前 30 大中與主動型 ETF 重疊較低的大型權值股小額湊足 23–24 檔持股。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部位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高信心部位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10–12 檔，由 AI Agent 從候選池挑選並給信心等級：高 = 8%、中 = 5.5%（2330：高 15%、中 10%）；名目權重合計過大時等比例縮小、過小時在上限內等比例放大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8%（官方 10%，留 2% 給價格漂移：買進當天漲停且淨值下跌仍不超過 10%），2330 為 20%（官方 25%）；前日收盤超過 9.5%（2330 22%）當日減回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湊檔數部位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市值前 30 大、且不在高信心名單者，取市值最大的若干檔各 1%–2%，使總持股 23–24 檔（官方 20–30；內部至少比 20 檔多 3 檔緩衝）；出現在超過 50% 主動型 ETF 前 15 大的股票排在後面（低重疊優先）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2%–5%；委託後預估現金比 ≥ 2% ＋ 0.03 × 買進金額占淨值（成交均價可能高於前日收盤），不足時等比例縮減買進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我方前 15 大 vs 每檔主動型 ETF 前 15 大，官方 ≥ 15%、內部目標 ≥ 20%；不足時先把重疊的湊檔股換成不重疊者，再把重疊最大的高信心部位每次降 1.5%（最低 3%）；仍不足則退回 Agent 換股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&lt; 17% → 當日強制再平衡到 ≥ 20%；前日收盤已 &lt; 15% → 當日補到 ≥ 25%，避免連續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交易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每日依名單重算目標權重；既有持股差距 &lt; 1.5%（無交易帶）不交易；單日異動超過 60 檔（schema 上限）時分兩天完成；BUY/ADD 的目標權重以前日收盤 ×1.10（漲停）壓力測試仍須 ≤ 10%（2330 ≤ 25%）；前日結算權重 &gt; 9.5%（2330 &gt; 24%）的被動超限部位當日強制減碼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decisions：target_weight 由信心等級機械換算（高 8%／中 5.5%），湊檔股各 1–2%；委託一律由官方公式 derive_orders 推導，Agent 不決定權重或股數。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inferences：每檔高信心部位一則推論（引用 Agent 選的 observation）；湊檔數部位一則推論（引用 filler_universe）；未偏離無交易帶者以「差距在無交易帶內」推論寫入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market_view：posture 與現金區間由實際委託推得，不由 Agent 自填；regime／stance 須與淨買賣方向一致。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二、超額來源：候選池＋AI Agent 依公開事件選股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程式每日從 150 檔用資料篩出候選池，Agent 只能從候選池（或目前名單）挑選；候選分數負責排序，入選理由必須是具名的公開資訊。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候選池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設定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檔數與流動性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每日約 30 檔；20 日均成交值 ≥ 3 億（8% 部位約 8000 萬，低於日成交值的 27%）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分數組成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投信近 5 日淨買超占成交值 ×0.2、近 10 日 ×0.2；20 日相對強度 ×0.3；成交值放大（5 日／20 日均量）×0.15（皆為橫斷面 z 分數）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差異化扣分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減去 1.0 × 出現在主動型 ETF 前 15 大的比例：越多主動型 ETF 重押的股票分數越低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固定列入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2330：重疊扣分會讓它永遠排不進前 30 名，但宣告允許 Agent 選它（上限 20%）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入選依據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宣告因子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因子</w:t>
            </w:r>
          </w:p>
        </w:tc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角色</w:t>
            </w:r>
          </w:p>
        </w:tc>
        <w:tc>
          <w:tcPr>
            <w:tcW w:type="dxa" w:w="63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用法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投信買超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首要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首要訊號：投信 5／10 日淨買超（成交值標準化）與連續買超天數，進入候選分數並可作為入選依據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外資動向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全市場三大法人買賣金額（TWSE BFI82U：外資及陸資、投信、自營商、合計，億元）與個股外資買賣超；market_view 必須引用全市場金額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相對強勢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 日報酬相對 150 檔中位數，只作候選排序，不能單獨作為入選依據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成交量異動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近 5 日均成交值相對 20 日均的放大倍數，只作候選排序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美國重大事件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風險疊加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FOMC 利率決策、CPI、PCE、非農就業、科技巨頭財報（NVIDIA／Apple／Microsoft／Alphabet／Amazon／Meta／AMD）、美國大選，以及費城半導體指數與台積電 ADR 收盤（us_overnight）。事件前 1 日與當日降低新建倉；FOMC、NVIDIA 財報、美國大選的前一交易日由程式強制不新增、不升級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美國利率與市場波動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風險疊加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FRED 日資料 DGS2（2 年期公債殖利率）、DFF（聯邦基金有效利率）、VIXCLS（VIX）、T10Y2Y（10Y−2Y 利差）、DEXTAUS（美元兌台幣，寫日變動）與聯準會 FOMC 聲明／利率決議新聞稿；VIX &gt; 25、DGS2 單日變動 &gt; 15bp 或台幣單日貶值 &gt; 0.5%（外資賣壓）視為風險訊號：regime 不判 risk_on、降低新建倉。歷史資料以 ALFRED（realtime_start／realtime_end）取當時版本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散戶關注度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輔助（只升降一級）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Google 搜尋熱度、投資社群討論、融資變化，用來辨識題材升溫與過熱；只能把個股信心升或降一級（medium↔high），不單獨觸發買賣、不能作為 picks 的 basis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Agent 的輸出與程式檢查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每一檔 picks 必須引用至少一則 observation，其 ticker 為該股、topic 為所宣告的依據 id、source.authority 屬於該依據允許的來源，且 content_as_of 不晚於決策日 19:30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只能從當日候選池（約 30 檔）或目前的高信心名單中挑選；2330 一律列入候選表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候選分數（candidate_screen）含股價相對強度，只能作為排序參考與輔助引用，不能單獨作為入選依據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停損股票若要保留，必須引用今日新出現的正面事件（財報、法說會、月營收、重大訊息）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Agent 不得輸出權重、股數、委託或 posture；輸出不合格會被退回重寫，最多 3 次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信心等級：高信心：配置 8%（2330 為 15%）；中信心：配置 5.5%（2330 為 10%）。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observations：candidate_screen（候選分數與組成，排序用）、trust_flow（投信 5／10 日淨買超、連買天數）以及月營收、財報、法說會、重大訊息事件；topic 與依據 id 相同，來源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inferences：每檔高信心部位的 premise_refs 指向該股的依據 observation，logic 說明「事實 → 為何高／中信心 → 與主題的關係」，counter_evidence 寫反方訊號；主動移出者另有一則移出推論。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三、換股紀律（程式強制，違反就退回 Agent 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遲滯：已持有且仍在候選池前 30 名者預設續抱；要移出必須在 exits 引用該股今日的依據事實（財報、法說會、月營收、投信、重大訊息），候選分數或股價變動不構成移出理由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高信心部位持有 ≥ 3 個交易日才可賣出或降級（觸發停損除外）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每日最多新增 4 檔、主動移出 4 檔（首次建倉不受限；停損出場不計入）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還原價相對成本（進場日成交均價）下跌超過 12%，且當日沒有新的正面事件 → 出場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FOMC 利率決議、NVIDIA 財報、美國大選（config/event_calendar.json）的前一交易日：不新增部位、不升級，既有部位凍結（停損與漂移保護照常）；其他美國重大事件（CPI、PCE、非農就業、其他科技巨頭財報）的前 1 日與當日由 Agent 降低新建倉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名單與信心等級沒有新證據就續抱；每次換股往返成本約 0.6%，候選分數變動不是換股理由。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狀態（名單、進場日、引用證據）存於 runs/state/conviction.json，隔日重建成 observation，續抱的推論可重新引用原證據。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初賽期間美國重大事件（美國時間）</w:t>
            </w:r>
          </w:p>
        </w:tc>
        <w:tc>
          <w:tcPr>
            <w:tcW w:type="dxa" w:w="4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處理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2026-10-28 FOMC 利率決議（待核對）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2026-11-03 美國期中選舉（待核對）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2026-11-18 NVIDIA FY2027 Q3 財報（推估）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8"/>
        </w:rPr>
        <w:t>CPI、PCE、非農就業與 Apple／Microsoft／Alphabet／Amazon／Meta／AMD 財報日，於主辦方初賽開始前依官方公告補入事件表（config/event_calendar.json，每筆附官方來源網址），事件前 1 日與當日降低新建倉。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observations：position_pnl（持有天數、相對成本報酬）與 event_calendar（事件排程）。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inferences：停損出場以 position_pnl 為前提；事件前一交易日的 no_trade 推論引用 event_calendar。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decisions：停損 → SELL_ALL；未滿 3 日者不會出現在賣出；事件前一交易日不會出現 BUY。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四、代理回測摘要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LLM 無法回測，以「候選池分數前 11 名（前 5 名高、其餘中；已持有且名次 ≤ 30 者續抱）」代替 Agent 選股，其餘規則與實盤同一套程式。自 2025-04-01 起每 2 個交易日一個起點、每段 24 個交易日（初賽約 24 日）、從 10 億現金建倉，計算相對「市值加權上限基準（2330 ≤ 20%、其他 ≤ 8%）」的超額報酬分布。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tcPr>
            <w:tcW w:type="dxa" w:w="2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24 日窗口</w:t>
            </w:r>
          </w:p>
        </w:tc>
        <w:tc>
          <w:tcPr>
            <w:tcW w:type="dxa" w:w="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窗口數</w:t>
            </w:r>
          </w:p>
        </w:tc>
        <w:tc>
          <w:tcPr>
            <w:tcW w:type="dxa" w:w="1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P(超額 &gt; +5%)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P(&gt; +10%)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P(&lt; −10%)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平均超額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 MDD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單檔 &gt; 10%（天）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預設（遲滯續抱，高 8%／中 5.5%）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22%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其中樣本外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-5.6%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敏感度：嚴格前 11 名（不續抱）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-1.4%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敏感度：2330 固定高信心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對照：舊權重 9%／6%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對照：合規基準 A（降級保底）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預設版 24 日超額 5%～95% 區間為 -12.3% ～ +11.4%，平均換手 2.0 倍、費用與證交稅平均 1.1%：集中策略確實拉大與大盤的偏離，但左尾同樣變厚；不續抱、每天追逐候選名次的版本換手更高、結果更差，所以規則以「沒有新證據就續抱」為預設。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樣本外（窗口起點 ≥ 2026-08-01）只有 11 個彼此重疊的窗口，平均超額 -5.9%；顯示策略的勝負高度依賴選股是否抓到當期主流。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違規檢查（逐日期末）：持股檔數 0、現金 0、Active Share &lt; 15% 共 0 天；單檔超過 10% 的 15 天中，買進當日即超過者 0 天，其餘為持有中的價格漂移，隔日減回（官方給 5 個交易日調整）。高信心權重由 9% 下修為 8%，就是為了降低「買進當日收盤超過 10%」被認定為加碼違規的風險。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名單偏誤：150 檔是 2026 年 7 月底依市值選出，之前的回測有前視與倖存者偏誤，動能／籌碼分數尤其容易買到事後的贏家；主動型 ETF 持股用 2026-10-07、2026-10-08 的真實前 15 大快照。回測不證明 Agent 能創造超額報酬，只能檢驗規則與成本。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inferences.counter_evidence：誠實寫出反方訊號；confidence 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no_trade_decisions：沒有新證據或差距在無交易帶內的持股一律寫入，並引用對應推論。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五、降級保底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Agent 連續 3 次輸出未通過檢查時：若已有高信心名單 → 凍結（沿用現有部位，只做停損與漂移保護）；若尚無名單或凍結也不合規 → 改用合規基準 A（舊版正式策略，零 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9"/>
        </w:rPr>
        <w:t>合規基準 A：投資範圍內『有當日價格且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16–28 名）把 Active Share 補到 ≥ 22%（官方門檻 15%，前 15 大口徑）。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market_view：降級日 regime／stance 為 neutral，logic 說明降級原因與方式（凍結或合規基準 A）。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inferences／decisions：凍結時沿用原名單的推論並重新引用原證據；改用合規基準 A 時以「依合規基準 A 配置」為推論。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六、每日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投資主題：集中持有 10–12 檔高信心股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decisions.target_weight（高 8%／中 5.5%）；inferences 每檔一則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投資理念：依公開事件選股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conviction_agent.check_picks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每檔須有具名來源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持有 3 日、每日換 4 檔、停損 12%、事件前一日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position_pnl／event_calendar observation；SELL_ALL 與 BUY 的時點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conviction.discipline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20%（官方 15%）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2.3.1（status = final）。策略改版（v2.0.0；v2.1.0 權重下修為 8%／5.5%、預設遲滯續抱、改用真實前 15 大；v2.2.0 總持股 23–24 檔、湊檔低重疊優先；v2.3.1 macro 加 DEXTAUS（台幣單日貶值 &gt; 0.5% 為風險訊號）、處置／注意／停牌限制、market_view 必須引用全市場三大法人金額；v2.3.0 改名「主動台灣焦點主題」、新理念「資金流向領先價格」、宣告因子加入美國重大事件／美國利率與市場波動／散戶關注度）：由「市值基準 ±3% 小幅加減碼」改為「集中主題＋事件驅動」。修改任何欄位＝改版，agent_metadata.code_version 需對應新的 git commit；portfolio_rules／candidate_rules／fallback.portfolio_rules 必須與 ConvictionParams／CandidateParams／FinalParams 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