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830"/>
        <w:gridCol w:w="7394"/>
      </w:tblGrid>
      <w:tr w:rsidR="002C1B55" w:rsidRPr="00483ED3" w14:paraId="4D1E4C00" w14:textId="77777777" w:rsidTr="002C1B55">
        <w:trPr>
          <w:trHeight w:val="863"/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CC01FC" w14:textId="7ABD6B24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名稱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(20字內</w:t>
            </w:r>
            <w:r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，限使用中文或英文</w:t>
            </w:r>
            <w:r w:rsidRPr="00483ED3">
              <w:rPr>
                <w:rFonts w:ascii="標楷體" w:eastAsia="標楷體" w:hAnsi="標楷體" w:hint="eastAsia"/>
                <w:b/>
                <w:color w:val="1F4E79"/>
                <w:sz w:val="19"/>
                <w:lang w:eastAsia="zh-TW"/>
              </w:rPr>
              <w:t>)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4EFC0" w14:textId="0B47D9B1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hAnsi="標楷體" w:eastAsia="標楷體"/>
                <w:sz w:val="21"/>
              </w:rPr>
              <w:t>主動台灣核心優選 AI</w:t>
            </w:r>
          </w:p>
        </w:tc>
      </w:tr>
      <w:tr w:rsidR="002C1B55" w:rsidRPr="00483ED3" w14:paraId="053B1821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67F22" w14:textId="4B78E713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  <w:lang w:eastAsia="zh-TW"/>
              </w:rPr>
              <w:t>ETF 投資主題（50字內）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57FABD" w14:textId="5E771A3D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hAnsi="標楷體" w:eastAsia="標楷體"/>
                <w:sz w:val="21"/>
              </w:rPr>
              <w:t>AI Agent 依公開事件集中持有 10 至 12 檔高信心台股，追求明顯偏離大盤的超額報酬</w:t>
            </w:r>
          </w:p>
        </w:tc>
      </w:tr>
      <w:tr w:rsidR="002C1B55" w:rsidRPr="00483ED3" w14:paraId="20E1C357" w14:textId="77777777" w:rsidTr="002C1B55">
        <w:trPr>
          <w:jc w:val="center"/>
        </w:trPr>
        <w:tc>
          <w:tcPr>
            <w:tcW w:w="2830" w:type="dxa"/>
            <w:shd w:val="clear" w:color="auto" w:fill="F2F6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95A04" w14:textId="25865961" w:rsidR="002C1B55" w:rsidRPr="00483ED3" w:rsidRDefault="002C1B55" w:rsidP="00960D43">
            <w:pPr>
              <w:rPr>
                <w:rFonts w:ascii="標楷體" w:eastAsia="標楷體" w:hAnsi="標楷體"/>
              </w:rPr>
            </w:pPr>
            <w:r w:rsidRPr="00483ED3">
              <w:rPr>
                <w:rFonts w:ascii="標楷體" w:eastAsia="標楷體" w:hAnsi="標楷體"/>
                <w:b/>
                <w:color w:val="1F4E79"/>
                <w:sz w:val="19"/>
              </w:rPr>
              <w:t>ETF 投資理念（100～300字）</w:t>
            </w:r>
          </w:p>
        </w:tc>
        <w:tc>
          <w:tcPr>
            <w:tcW w:w="73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9F35DA" w14:textId="1A36862E" w:rsidR="002C1B55" w:rsidRPr="00483ED3" w:rsidRDefault="002C1B55" w:rsidP="00960D43">
            <w:pPr>
              <w:rPr>
                <w:rFonts w:ascii="標楷體" w:eastAsia="標楷體" w:hAnsi="標楷體"/>
                <w:lang w:eastAsia="zh-TW"/>
              </w:rPr>
            </w:pPr>
            <w:r>
              <w:rPr>
                <w:rFonts w:ascii="標楷體" w:hAnsi="標楷體" w:eastAsia="標楷體"/>
                <w:sz w:val="21"/>
              </w:rPr>
              <w:t>本 ETF 由 AI Agent 依公開事件集中投資台股。程式每日以投信買超、相對強度與成交值放大篩出約 30 檔候選，並對主動型 ETF 重押的股票扣分；Agent 閱讀月營收、財報、法說會、投信連買與重大訊息，挑出 10 至 12 檔高信心股票，高信心配置 9%、中信心 6%，其餘以大型權值股小額湊足持股。每檔都須引用具名資訊；持有至少 3 日、每日最多換 4 檔、跌逾 12% 無新利多即停損，重大美國事件前一日不加碼，以紀律追求明顯偏離大盤的超額報酬。</w:t>
            </w:r>
          </w:p>
        </w:tc>
      </w:tr>
    </w:tbl>
    <w:p w14:paraId="5145DE34" w14:textId="77777777" w:rsidR="00534563" w:rsidRDefault="00534563">
      <w:pPr>
        <w:rPr>
          <w:lang w:eastAsia="zh-TW"/>
        </w:rPr>
      </w:pPr>
    </w:p>
    <w:p>
      <w:pPr>
        <w:keepNext/>
        <w:spacing w:before="280" w:after="80"/>
      </w:pPr>
      <w:r>
        <w:rPr>
          <w:rFonts w:ascii="微軟正黑體" w:hAnsi="微軟正黑體" w:eastAsia="微軟正黑體"/>
          <w:b/>
          <w:color w:val="1F4E79"/>
          <w:sz w:val="28"/>
        </w:rPr>
        <w:t>補充說明</w:t>
      </w:r>
    </w:p>
    <w:p>
      <w:pPr>
        <w:spacing w:after="80"/>
      </w:pPr>
      <w:r>
        <w:rPr>
          <w:rFonts w:ascii="微軟正黑體" w:hAnsi="微軟正黑體" w:eastAsia="微軟正黑體"/>
          <w:b w:val="0"/>
          <w:i/>
          <w:sz w:val="18"/>
        </w:rPr>
        <w:t>以下內容補充說明上表的宣告，並標示每段宣告將如何出現在每日 D-Plan（market_view、inferences、decisions）。</w:t>
      </w: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一、投組結構：集中的高信心部位＋湊檔數部位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sz w:val="20"/>
        </w:rPr>
        <w:t>每日由程式從 150 檔篩出約 30 檔候選（投信 5／10 日淨買超、20 日相對強度、成交值放大，並對主動型 ETF 重疊扣分），AI Agent 閱讀月營收、財報、法說會、投信連買與重大訊息後挑出 10–12 檔高信心股票並給信心等級，程式換算為 9%／6% 的集中部位；其餘以市值前 30 大小額湊足持股檔數。</w:t>
      </w: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部位</w:t>
            </w:r>
          </w:p>
        </w:tc>
        <w:tc>
          <w:tcPr>
            <w:tcW w:type="dxa" w:w="76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規則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投資範圍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台股（上市＋上櫃，限 universe_150）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高信心部位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10–12 檔，由 AI Agent 從候選池挑選並給信心等級：高 = 9%、中 = 6%（2330：高 15%、中 10%）；名目權重合計過大時等比例縮小、過小時在上限內等比例放大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單檔上限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9%（官方 10%，留 1% 給價格漂移），2330 為 20%（官方 25%）；前日收盤超過 9.5%（2330 22%）當日減回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湊檔數部位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市值前 30 大、且不在高信心名單者，取市值最大的若干檔各 1%–2%，使總持股 21–24 檔（官方 20–30；內部下限 21 檔，建倉當天若一檔停牌買不到仍有 20 檔）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現金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目標 3%，區間 2%–5%；委託後預估現金比 ≥ 2% ＋ 0.03 × 買進金額占淨值（成交均價可能高於前日收盤），不足時等比例縮減買進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Active Share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我方前 15 大 vs 每檔主動型 ETF 前 15 大，官方 ≥ 15%、內部目標 ≥ 20%；不足時先把重疊的湊檔股換成不重疊者，再把重疊最大的高信心部位每次降 1.5%（最低 3%）；仍不足則退回 Agent 換股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Active Share 硬規則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前日收盤 &lt; 17% → 當日強制再平衡到 ≥ 20%；前日收盤已 &lt; 15% → 當日補到 ≥ 25%，避免連續 2 日低於官方門檻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交易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每日依名單重算目標權重；既有持股差距 &lt; 1.5%（無交易帶）不交易；單日異動超過 30 檔（schema 上限）時分兩天完成</w:t>
            </w:r>
          </w:p>
        </w:tc>
      </w:tr>
    </w:tbl>
    <w:p>
      <w:pPr>
        <w:spacing w:after="40"/>
      </w:pP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7F9FC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對應每日 D-Plan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decisions：target_weight 由信心等級機械換算（高 9%／中 6%），湊檔股各 1–2%；委託一律由官方公式 derive_orders 推導，Agent 不決定權重或股數。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inferences：每檔高信心部位一則推論（引用 Agent 選的 observation）；湊檔數部位一則推論（引用 filler_universe）；未偏離無交易帶者以「差距在無交易帶內」推論寫入 no_trade_decisions。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market_view：posture 與現金區間由實際委託推得，不由 Agent 自填；regime／stance 須與淨買賣方向一致。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二、超額來源：候選池＋AI Agent 依公開事件選股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sz w:val="20"/>
        </w:rPr>
        <w:t>程式每日從 150 檔用資料篩出候選池，Agent 只能從候選池（或目前名單）挑選；候選分數負責排序，入選理由必須是具名的公開資訊。</w:t>
      </w: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17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候選池</w:t>
            </w:r>
          </w:p>
        </w:tc>
        <w:tc>
          <w:tcPr>
            <w:tcW w:type="dxa" w:w="76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設定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檔數與流動性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每日約 30 檔；20 日均成交值 ≥ 3 億（9% 部位約 9000 萬，低於日成交值的 30%）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分數組成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投信近 5 日淨買超占成交值 ×0.2、近 10 日 ×0.2；20 日相對強度 ×0.3；成交值放大（5 日／20 日均量）×0.15（皆為橫斷面 z 分數）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差異化扣分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減去 1.0 × 出現在主動型 ETF 前 15 大的比例：越多主動型 ETF 重押的股票分數越低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固定列入</w:t>
            </w:r>
          </w:p>
        </w:tc>
        <w:tc>
          <w:tcPr>
            <w:tcW w:type="dxa" w:w="7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2330：重疊扣分會讓它永遠排不進前 30 名，但宣告允許 Agent 選它（上限 20%）</w:t>
            </w:r>
          </w:p>
        </w:tc>
      </w:tr>
    </w:tbl>
    <w:p>
      <w:pPr>
        <w:spacing w:after="40"/>
      </w:pP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4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入選依據</w:t>
            </w:r>
          </w:p>
        </w:tc>
        <w:tc>
          <w:tcPr>
            <w:tcW w:type="dxa" w:w="18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資料來源（authority）</w:t>
            </w:r>
          </w:p>
        </w:tc>
        <w:tc>
          <w:tcPr>
            <w:tcW w:type="dxa" w:w="61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例子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財報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mops</w:t>
            </w:r>
          </w:p>
        </w:tc>
        <w:tc>
          <w:tcPr>
            <w:tcW w:type="dxa" w:w="6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營收／毛利率／EPS 相對前期或市場預期明顯轉強或轉弱；存貨、應收帳款或現金流出現異常變化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法說會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mops、media</w:t>
            </w:r>
          </w:p>
        </w:tc>
        <w:tc>
          <w:tcPr>
            <w:tcW w:type="dxa" w:w="6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管理層上修／下修展望、資本支出或產能計畫；法說會揭露的訂單能見度或客戶需求變化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月營收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mops</w:t>
            </w:r>
          </w:p>
        </w:tc>
        <w:tc>
          <w:tcPr>
            <w:tcW w:type="dxa" w:w="6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月營收年增率或月增率連續加速／轉弱；創單月歷史新高或明顯低於近期趨勢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投信連續買賣超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twse、tpex</w:t>
            </w:r>
          </w:p>
        </w:tc>
        <w:tc>
          <w:tcPr>
            <w:tcW w:type="dxa" w:w="6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投信連續多個交易日淨買超（或淨賣超），且金額占成交值比重明顯</w:t>
            </w:r>
          </w:p>
        </w:tc>
      </w:tr>
      <w:tr>
        <w:tc>
          <w:tcPr>
            <w:tcW w:type="dxa" w:w="1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重大訊息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mops</w:t>
            </w:r>
          </w:p>
        </w:tc>
        <w:tc>
          <w:tcPr>
            <w:tcW w:type="dxa" w:w="6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重大合約、增資／減資、處分資產、訴訟、董監持股異動等公告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Agent 的輸出與程式檢查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每一檔 picks 必須引用至少一則 observation，其 ticker 為該股、topic 為所宣告的依據 id、source.authority 屬於該依據允許的來源，且 content_as_of 不晚於決策日 19:30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只能從當日候選池（約 30 檔）或目前的高信心名單中挑選；2330 一律列入候選表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候選分數（candidate_screen）含股價相對強度，只能作為排序參考與輔助引用，不能單獨作為入選依據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停損股票若要保留，必須引用今日新出現的正面事件（財報、法說會、月營收、重大訊息）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Agent 不得輸出權重、股數、委託或 posture；輸出不合格會被退回重寫，最多 3 次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信心等級：高信心：配置 9%（2330 為 15%）；中信心：配置 6%（2330 為 10%）。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7F9FC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對應每日 D-Plan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observations：candidate_screen（候選分數與組成，排序用）、trust_flow（投信 5／10 日淨買超、連買天數）以及月營收、財報、法說會、重大訊息事件；topic 與依據 id 相同，來源 authority 如上表。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inferences：每檔高信心部位的 premise_refs 指向該股的依據 observation，logic 說明「事實 → 為何高／中信心 → 與主題的關係」，counter_evidence 寫反方訊號；主動移出者另有一則移出推論。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三、換股紀律（程式強制，違反就退回 Agent 重寫）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高信心部位持有 ≥ 3 個交易日才可賣出或降級（觸發停損除外）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每日最多新增 4 檔、主動移出 4 檔（首次建倉不受限；停損出場不計入）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還原價相對成本（進場日成交均價）下跌超過 12%，且當日沒有新的正面事件 → 出場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FOMC 利率決議、NVIDIA 財報、美國大選（config/event_calendar.json）的前一交易日：不新增部位、不升級，既有部位凍結（停損與漂移保護照常）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名單與信心等級沒有新證據就續抱；每次換股往返成本約 0.6%，候選分數變動不是換股理由。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20"/>
        </w:rPr>
        <w:t>• 狀態（名單、進場日、引用證據）存於 runs/state/conviction.json，隔日重建成 observation，續抱的推論可重新引用原證據。</w:t>
      </w: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6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初賽期間高波動事件（美國時間）</w:t>
            </w:r>
          </w:p>
        </w:tc>
        <w:tc>
          <w:tcPr>
            <w:tcW w:type="dxa" w:w="47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前一交易日的處理</w:t>
            </w:r>
          </w:p>
        </w:tc>
      </w:tr>
      <w:tr>
        <w:tc>
          <w:tcPr>
            <w:tcW w:type="dxa" w:w="4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2026-10-28 FOMC 利率決議</w:t>
            </w:r>
          </w:p>
        </w:tc>
        <w:tc>
          <w:tcPr>
            <w:tcW w:type="dxa" w:w="4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不新增、不升級，既有部位凍結</w:t>
            </w:r>
          </w:p>
        </w:tc>
      </w:tr>
      <w:tr>
        <w:tc>
          <w:tcPr>
            <w:tcW w:type="dxa" w:w="4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2026-11-03 美國期中選舉</w:t>
            </w:r>
          </w:p>
        </w:tc>
        <w:tc>
          <w:tcPr>
            <w:tcW w:type="dxa" w:w="4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不新增、不升級，既有部位凍結</w:t>
            </w:r>
          </w:p>
        </w:tc>
      </w:tr>
      <w:tr>
        <w:tc>
          <w:tcPr>
            <w:tcW w:type="dxa" w:w="46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2026-11-18 NVIDIA FY2027 Q3 財報（推估）</w:t>
            </w:r>
          </w:p>
        </w:tc>
        <w:tc>
          <w:tcPr>
            <w:tcW w:type="dxa" w:w="47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不新增、不升級，既有部位凍結</w:t>
            </w:r>
          </w:p>
        </w:tc>
      </w:tr>
    </w:tbl>
    <w:p>
      <w:pPr>
        <w:spacing w:after="40"/>
      </w:pP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7F9FC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對應每日 D-Plan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observations：position_pnl（持有天數、相對成本報酬）與 event_calendar（事件排程）。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inferences：停損出場以 position_pnl 為前提；事件前一交易日的 no_trade 推論引用 event_calendar。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decisions：停損 → SELL_ALL；未滿 3 日者不會出現在賣出；事件前一交易日不會出現 BUY。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四、代理回測摘要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sz w:val="20"/>
        </w:rPr>
        <w:t>LLM 無法回測，以「候選池分數前 11 名（前 5 名高、其餘中）」代替 Agent 選股，其餘規則與實盤同一套程式。自 2025-04-01 起每 2 個交易日一個起點、每段 24 個交易日（初賽約 24 日）、從 10 億現金建倉，計算相對「市值加權上限基準（2330 ≤ 20%、其他 ≤ 8%）」的超額報酬分布。</w:t>
      </w: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30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24 日窗口</w:t>
            </w:r>
          </w:p>
        </w:tc>
        <w:tc>
          <w:tcPr>
            <w:tcW w:type="dxa" w:w="9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窗口數</w:t>
            </w:r>
          </w:p>
        </w:tc>
        <w:tc>
          <w:tcPr>
            <w:tcW w:type="dxa" w:w="12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P(超額 &gt; +5%)</w:t>
            </w:r>
          </w:p>
        </w:tc>
        <w:tc>
          <w:tcPr>
            <w:tcW w:type="dxa" w:w="11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P(&gt; +10%)</w:t>
            </w:r>
          </w:p>
        </w:tc>
        <w:tc>
          <w:tcPr>
            <w:tcW w:type="dxa" w:w="11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P(&lt; −10%)</w:t>
            </w:r>
          </w:p>
        </w:tc>
        <w:tc>
          <w:tcPr>
            <w:tcW w:type="dxa" w:w="10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平均超額</w:t>
            </w:r>
          </w:p>
        </w:tc>
        <w:tc>
          <w:tcPr>
            <w:tcW w:type="dxa" w:w="10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平均 MDD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代理（嚴格前 11 名）</w:t>
            </w:r>
          </w:p>
        </w:tc>
        <w:tc>
          <w:tcPr>
            <w:tcW w:type="dxa" w:w="9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171</w:t>
            </w:r>
          </w:p>
        </w:tc>
        <w:tc>
          <w:tcPr>
            <w:tcW w:type="dxa" w:w="12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19%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4%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12%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-1.3%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-7.3%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 xml:space="preserve">　其中樣本外</w:t>
            </w:r>
          </w:p>
        </w:tc>
        <w:tc>
          <w:tcPr>
            <w:tcW w:type="dxa" w:w="9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11</w:t>
            </w:r>
          </w:p>
        </w:tc>
        <w:tc>
          <w:tcPr>
            <w:tcW w:type="dxa" w:w="12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0%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0%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64%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-11.2%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-8.3%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遲滯代理（名次 ≤ 30 續抱）</w:t>
            </w:r>
          </w:p>
        </w:tc>
        <w:tc>
          <w:tcPr>
            <w:tcW w:type="dxa" w:w="9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171</w:t>
            </w:r>
          </w:p>
        </w:tc>
        <w:tc>
          <w:tcPr>
            <w:tcW w:type="dxa" w:w="12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26%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13%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10%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+0.4%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-7.2%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2330 固定高信心＋前 10 名</w:t>
            </w:r>
          </w:p>
        </w:tc>
        <w:tc>
          <w:tcPr>
            <w:tcW w:type="dxa" w:w="9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171</w:t>
            </w:r>
          </w:p>
        </w:tc>
        <w:tc>
          <w:tcPr>
            <w:tcW w:type="dxa" w:w="12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13%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3%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12%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-1.2%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-7.1%</w:t>
            </w:r>
          </w:p>
        </w:tc>
      </w:tr>
      <w:tr>
        <w:tc>
          <w:tcPr>
            <w:tcW w:type="dxa" w:w="3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對照：合規基準 A（降級保底）</w:t>
            </w:r>
          </w:p>
        </w:tc>
        <w:tc>
          <w:tcPr>
            <w:tcW w:type="dxa" w:w="9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171</w:t>
            </w:r>
          </w:p>
        </w:tc>
        <w:tc>
          <w:tcPr>
            <w:tcW w:type="dxa" w:w="12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2%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0%</w:t>
            </w:r>
          </w:p>
        </w:tc>
        <w:tc>
          <w:tcPr>
            <w:tcW w:type="dxa" w:w="1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0%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-0.9%</w:t>
            </w:r>
          </w:p>
        </w:tc>
        <w:tc>
          <w:tcPr>
            <w:tcW w:type="dxa" w:w="10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-5.4%</w:t>
            </w:r>
          </w:p>
        </w:tc>
      </w:tr>
    </w:tbl>
    <w:p>
      <w:pPr>
        <w:spacing w:after="40"/>
      </w:pP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19"/>
        </w:rPr>
        <w:t>• 代理的 24 日超額 5%～95% 區間為 -13.5% ～ +8.9%，平均換手 3.3 倍、費用與證交稅平均 1.8%：集中策略確實拉大與大盤的偏離，但左尾同樣變厚，換手成本是主要拖累。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19"/>
        </w:rPr>
        <w:t>• 樣本外（窗口起點 ≥ 2026-08-01）只有 11 個彼此重疊的窗口，平均超額 -11.2%；此期間市值加權基準大漲，集中組合明顯落後，顯示策略的勝負高度依賴選股是否抓到當期主流。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19"/>
        </w:rPr>
        <w:t>• 違規檢查（逐日期末）：持股檔數 0、現金 0、Active Share &lt; 15% 共 0 天；單檔超過 10% 的 79 天皆為收盤價漂移，隔日減回（官方給 5 個交易日調整）。</w:t>
      </w:r>
    </w:p>
    <w:p>
      <w:pPr>
        <w:spacing w:after="40"/>
        <w:ind w:left="280" w:hanging="200"/>
      </w:pPr>
      <w:r>
        <w:rPr>
          <w:rFonts w:ascii="微軟正黑體" w:hAnsi="微軟正黑體" w:eastAsia="微軟正黑體"/>
          <w:sz w:val="19"/>
        </w:rPr>
        <w:t>• 名單偏誤：150 檔是 2026 年 7 月底依市值選出，之前的回測有前視與倖存者偏誤，動能／籌碼分數尤其容易買到事後的贏家；主動型 ETF 持股用 2026-10-06 快照（僅前 10 大）。回測不證明 Agent 能創造超額報酬，只能檢驗規則與成本。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7F9FC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對應每日 D-Plan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market_view.counter_evidence 與 inferences.counter_evidence：誠實寫出反方訊號；confidence 不得高於證據所能支持的程度。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no_trade_decisions：沒有新證據或差距在無交易帶內的持股一律寫入，並引用對應推論。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五、降級保底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sz w:val="20"/>
        </w:rPr>
        <w:t>Agent 連續 3 次輸出未通過檢查時：若已有高信心名單 → 凍結（沿用現有部位，只做停損與漂移保護）；若尚無名單或凍結也不合規 → 改用合規基準 A（舊版正式策略，零 tilt）</w:t>
      </w:r>
    </w:p>
    <w:p>
      <w:pPr>
        <w:spacing w:after="80"/>
      </w:pPr>
      <w:r>
        <w:rPr>
          <w:rFonts w:ascii="微軟正黑體" w:hAnsi="微軟正黑體" w:eastAsia="微軟正黑體"/>
          <w:b w:val="0"/>
          <w:i w:val="0"/>
          <w:sz w:val="19"/>
        </w:rPr>
        <w:t>合規基準 A：投資範圍內『有當日價格且 20 日均成交值 ≥ 2 億』的股票，以市值（還原收盤價 × 發行股數）加權，2330 權重上限 20%、其他個股上限 8%（超額按市值比例重分配）；取權重最大的前 28 檔重新歸一；現金 3%；再以最小調整法（只動 1–3 檔重疊最大的標的，減下的權重分給第 11–28 名）把 Active Share 補到 ≥ 27%。</w:t>
      </w:r>
    </w:p>
    <w:tbl>
      <w:tblPr>
        <w:tblStyle w:val="ae"/>
        <w:tblW w:type="auto" w:w="0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306"/>
            <w:shd w:val="clear" w:color="auto" w:fill="F7F9FC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對應每日 D-Plan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market_view：降級日 regime／stance 為 neutral，logic 說明降級原因與方式（凍結或合規基準 A）。</w:t>
            </w:r>
          </w:p>
          <w:p>
            <w:pPr>
              <w:spacing w:after="20"/>
            </w:pPr>
            <w:r>
              <w:rPr>
                <w:rFonts w:ascii="微軟正黑體" w:hAnsi="微軟正黑體" w:eastAsia="微軟正黑體"/>
                <w:sz w:val="18"/>
              </w:rPr>
              <w:t>• inferences／decisions：凍結時沿用原名單的推論並重新引用原證據；改用合規基準 A 時以「依合規基準 A 配置」為推論。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微軟正黑體" w:hAnsi="微軟正黑體" w:eastAsia="微軟正黑體"/>
          <w:b/>
          <w:color w:val="1F4E79"/>
          <w:sz w:val="23"/>
        </w:rPr>
        <w:t>六、每日 D-Plan 與本文件的對照檢查</w:t>
      </w:r>
    </w:p>
    <w:tbl>
      <w:tblPr>
        <w:tblStyle w:val="ae"/>
        <w:tblW w:type="auto" w:w="0"/>
        <w:jc w:val="center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4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本文件的宣告</w:t>
            </w:r>
          </w:p>
        </w:tc>
        <w:tc>
          <w:tcPr>
            <w:tcW w:type="dxa" w:w="51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每日 D-Plan 對應欄位</w:t>
            </w:r>
          </w:p>
        </w:tc>
        <w:tc>
          <w:tcPr>
            <w:tcW w:type="dxa" w:w="1800"/>
            <w:shd w:val="clear" w:color="auto" w:fill="F2F6FA"/>
          </w:tcPr>
          <w:p>
            <w:r/>
            <w:r>
              <w:rPr>
                <w:rFonts w:ascii="微軟正黑體" w:hAnsi="微軟正黑體" w:eastAsia="微軟正黑體"/>
                <w:b/>
                <w:color w:val="1F4E79"/>
                <w:sz w:val="18"/>
              </w:rPr>
              <w:t>程式檢查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投資主題：集中持有 10–12 檔高信心股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decisions.target_weight（高 9%／中 6%）；inferences 每檔一則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conviction.build_portfolio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投資理念：依公開事件選股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observations.topic ∈ 五種依據；inferences 引用該 observation；decisions 引用 inference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conviction_agent.check_picks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每檔須有具名來源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sources.authority 與 content_as_of；observations.source_ref；dplan_validate C1（引用鏈不可斷）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validate()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持有 3 日、每日換 4 檔、停損 12%、事件前一日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position_pnl／event_calendar observation；SELL_ALL 與 BUY 的時點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conviction.discipline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Active Share ≥ 20%（官方 15%）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target_weight 已通過 Active Share 檢查才進入 decisions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conviction.build_portfolio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現金與曝險承諾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market_view.posture 由實際委託推得；dplan_validate C12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plan.posture_for／validate()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紀律：無證據不動</w:t>
            </w:r>
          </w:p>
        </w:tc>
        <w:tc>
          <w:tcPr>
            <w:tcW w:type="dxa" w:w="51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no_trade_decisions 涵蓋所有未異動持股</w:t>
            </w:r>
          </w:p>
        </w:tc>
        <w:tc>
          <w:tcPr>
            <w:tcW w:type="dxa" w:w="1800"/>
          </w:tcPr>
          <w:p>
            <w:r/>
            <w:r>
              <w:rPr>
                <w:rFonts w:ascii="微軟正黑體" w:hAnsi="微軟正黑體" w:eastAsia="微軟正黑體"/>
                <w:sz w:val="18"/>
              </w:rPr>
              <w:t>dplan_validate 覆蓋檢查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軟正黑體" w:hAnsi="微軟正黑體" w:eastAsia="微軟正黑體"/>
          <w:b w:val="0"/>
          <w:i/>
          <w:sz w:val="17"/>
        </w:rPr>
        <w:t>宣告版本 2.0.0（status = final）。策略改版（v2.0.0）：由「市值基準 ±3% 小幅加減碼」改為「集中主題＋事件驅動」。修改任何欄位＝改版，agent_metadata.code_version 需對應新的 git commit；portfolio_rules／candidate_rules／fallback.portfolio_rules 必須與 ConvictionParams／CandidateParams／FinalParams 一致（有測試）。</w:t>
      </w:r>
    </w:p>
    <w:sectPr w:rsidR="0053456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DDE84" w14:textId="77777777" w:rsidR="00F61EE6" w:rsidRDefault="00F61EE6" w:rsidP="002C1B55">
      <w:pPr>
        <w:spacing w:after="0" w:line="240" w:lineRule="auto"/>
      </w:pPr>
      <w:r>
        <w:separator/>
      </w:r>
    </w:p>
  </w:endnote>
  <w:endnote w:type="continuationSeparator" w:id="0">
    <w:p w14:paraId="6B12B57A" w14:textId="77777777" w:rsidR="00F61EE6" w:rsidRDefault="00F61EE6" w:rsidP="002C1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33354" w14:textId="77777777" w:rsidR="00F61EE6" w:rsidRDefault="00F61EE6" w:rsidP="002C1B55">
      <w:pPr>
        <w:spacing w:after="0" w:line="240" w:lineRule="auto"/>
      </w:pPr>
      <w:r>
        <w:separator/>
      </w:r>
    </w:p>
  </w:footnote>
  <w:footnote w:type="continuationSeparator" w:id="0">
    <w:p w14:paraId="44829D75" w14:textId="77777777" w:rsidR="00F61EE6" w:rsidRDefault="00F61EE6" w:rsidP="002C1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B255" w14:textId="2F882E2D" w:rsidR="002C1B55" w:rsidRPr="002C1B55" w:rsidRDefault="00180810" w:rsidP="002C1B55">
    <w:pPr>
      <w:pStyle w:val="af"/>
      <w:jc w:val="center"/>
      <w:rPr>
        <w:rFonts w:ascii="標楷體" w:eastAsia="標楷體" w:hAnsi="標楷體"/>
        <w:sz w:val="24"/>
        <w:szCs w:val="24"/>
      </w:rPr>
    </w:pPr>
    <w:r>
      <w:rPr>
        <w:rFonts w:ascii="標楷體" w:eastAsia="標楷體" w:hAnsi="標楷體" w:hint="eastAsia"/>
        <w:sz w:val="24"/>
        <w:szCs w:val="24"/>
        <w:lang w:eastAsia="zh-TW"/>
      </w:rPr>
      <w:t>參賽隊伍</w:t>
    </w:r>
    <w:r w:rsidR="002C1B55" w:rsidRPr="002C1B55">
      <w:rPr>
        <w:rFonts w:ascii="標楷體" w:eastAsia="標楷體" w:hAnsi="標楷體" w:hint="eastAsia"/>
        <w:sz w:val="24"/>
        <w:szCs w:val="24"/>
        <w:lang w:eastAsia="zh-TW"/>
      </w:rPr>
      <w:t>請以此格式繳交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B55"/>
    <w:rsid w:val="00180810"/>
    <w:rsid w:val="002C1B55"/>
    <w:rsid w:val="003A13CE"/>
    <w:rsid w:val="00534563"/>
    <w:rsid w:val="006E4707"/>
    <w:rsid w:val="00AC49E2"/>
    <w:rsid w:val="00EE45D1"/>
    <w:rsid w:val="00F6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70632"/>
  <w15:chartTrackingRefBased/>
  <w15:docId w15:val="{733981A2-44FA-4E7E-8A68-B5AF44F7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1B55"/>
    <w:pPr>
      <w:spacing w:after="200" w:line="276" w:lineRule="auto"/>
    </w:pPr>
    <w:rPr>
      <w:rFonts w:ascii="微軟正黑體" w:eastAsia="微軟正黑體" w:hAnsi="微軟正黑體"/>
      <w:kern w:val="0"/>
      <w:sz w:val="21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B55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B55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B55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B55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B55"/>
    <w:pPr>
      <w:keepNext/>
      <w:keepLines/>
      <w:widowControl w:val="0"/>
      <w:spacing w:before="40" w:after="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B55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B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B55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B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B55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B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B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B55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2C1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B55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2C1B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B55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4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2C1B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B55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4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2C1B55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B55"/>
    <w:pPr>
      <w:widowControl w:val="0"/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2E74B5" w:themeColor="accent1" w:themeShade="BF"/>
      <w:kern w:val="2"/>
      <w:sz w:val="24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2C1B55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C1B55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59"/>
    <w:rsid w:val="002C1B55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2C1B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2C1B55"/>
    <w:rPr>
      <w:rFonts w:ascii="微軟正黑體" w:eastAsia="微軟正黑體" w:hAnsi="微軟正黑體"/>
      <w:kern w:val="0"/>
      <w:sz w:val="20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潘皓天17786</dc:creator>
  <cp:keywords/>
  <dc:description/>
  <cp:lastModifiedBy>潘皓天17786</cp:lastModifiedBy>
  <cp:revision>2</cp:revision>
  <dcterms:created xsi:type="dcterms:W3CDTF">2026-09-14T01:41:00Z</dcterms:created>
  <dcterms:modified xsi:type="dcterms:W3CDTF">2026-09-14T01:41:00Z</dcterms:modified>
</cp:coreProperties>
</file>