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8D935">
      <w:pPr>
        <w:rPr>
          <w:rFonts w:hint="eastAsia" w:ascii="仿宋" w:hAnsi="仿宋" w:eastAsia="仿宋" w:cs="仿宋"/>
          <w:b/>
          <w:bCs/>
          <w:sz w:val="32"/>
          <w:szCs w:val="32"/>
          <w:lang w:eastAsia="zh-CN"/>
        </w:rPr>
      </w:pPr>
    </w:p>
    <w:p w14:paraId="36E63B8B">
      <w:pPr>
        <w:spacing w:before="312" w:after="312"/>
        <w:jc w:val="center"/>
        <w:rPr>
          <w:rFonts w:eastAsia="黑体"/>
          <w:b/>
          <w:bCs/>
          <w:spacing w:val="100"/>
          <w:sz w:val="48"/>
          <w:szCs w:val="48"/>
        </w:rPr>
      </w:pPr>
      <w:r>
        <w:rPr>
          <w:rFonts w:hint="eastAsia" w:eastAsia="黑体" w:cs="黑体"/>
          <w:b/>
          <w:bCs/>
          <w:spacing w:val="100"/>
          <w:sz w:val="48"/>
          <w:szCs w:val="48"/>
        </w:rPr>
        <w:t>湖南省研究生科研创新项目</w:t>
      </w:r>
    </w:p>
    <w:p w14:paraId="6F94F769">
      <w:pPr>
        <w:spacing w:after="780"/>
        <w:jc w:val="center"/>
        <w:rPr>
          <w:rFonts w:eastAsia="黑体"/>
          <w:b/>
          <w:bCs/>
          <w:spacing w:val="20"/>
          <w:sz w:val="52"/>
          <w:szCs w:val="52"/>
        </w:rPr>
      </w:pPr>
      <w:r>
        <w:rPr>
          <w:rFonts w:hint="eastAsia" w:eastAsia="黑体" w:cs="黑体"/>
          <w:b/>
          <w:bCs/>
          <w:spacing w:val="20"/>
          <w:sz w:val="52"/>
          <w:szCs w:val="52"/>
        </w:rPr>
        <w:t>结</w:t>
      </w:r>
      <w:r>
        <w:rPr>
          <w:rFonts w:eastAsia="黑体"/>
          <w:b/>
          <w:bCs/>
          <w:spacing w:val="20"/>
          <w:sz w:val="52"/>
          <w:szCs w:val="52"/>
        </w:rPr>
        <w:t xml:space="preserve"> </w:t>
      </w:r>
      <w:r>
        <w:rPr>
          <w:rFonts w:hint="eastAsia" w:eastAsia="黑体" w:cs="黑体"/>
          <w:b/>
          <w:bCs/>
          <w:spacing w:val="20"/>
          <w:sz w:val="52"/>
          <w:szCs w:val="52"/>
        </w:rPr>
        <w:t>题</w:t>
      </w:r>
      <w:r>
        <w:rPr>
          <w:rFonts w:eastAsia="黑体"/>
          <w:b/>
          <w:bCs/>
          <w:spacing w:val="20"/>
          <w:sz w:val="52"/>
          <w:szCs w:val="52"/>
        </w:rPr>
        <w:t xml:space="preserve"> </w:t>
      </w:r>
      <w:r>
        <w:rPr>
          <w:rFonts w:hint="eastAsia" w:eastAsia="黑体" w:cs="黑体"/>
          <w:b/>
          <w:bCs/>
          <w:spacing w:val="20"/>
          <w:sz w:val="52"/>
          <w:szCs w:val="52"/>
        </w:rPr>
        <w:t>报</w:t>
      </w:r>
      <w:r>
        <w:rPr>
          <w:rFonts w:eastAsia="黑体"/>
          <w:b/>
          <w:bCs/>
          <w:spacing w:val="20"/>
          <w:sz w:val="52"/>
          <w:szCs w:val="52"/>
        </w:rPr>
        <w:t xml:space="preserve"> </w:t>
      </w:r>
      <w:r>
        <w:rPr>
          <w:rFonts w:hint="eastAsia" w:eastAsia="黑体" w:cs="黑体"/>
          <w:b/>
          <w:bCs/>
          <w:spacing w:val="20"/>
          <w:sz w:val="52"/>
          <w:szCs w:val="52"/>
        </w:rPr>
        <w:t>告</w:t>
      </w:r>
    </w:p>
    <w:tbl>
      <w:tblPr>
        <w:tblStyle w:val="4"/>
        <w:tblW w:w="0" w:type="auto"/>
        <w:jc w:val="center"/>
        <w:tblLayout w:type="fixed"/>
        <w:tblCellMar>
          <w:top w:w="0" w:type="dxa"/>
          <w:left w:w="108" w:type="dxa"/>
          <w:bottom w:w="0" w:type="dxa"/>
          <w:right w:w="108" w:type="dxa"/>
        </w:tblCellMar>
      </w:tblPr>
      <w:tblGrid>
        <w:gridCol w:w="2067"/>
        <w:gridCol w:w="6172"/>
      </w:tblGrid>
      <w:tr w14:paraId="6359D1C2">
        <w:trPr>
          <w:cantSplit/>
          <w:trHeight w:val="841" w:hRule="atLeast"/>
          <w:jc w:val="center"/>
        </w:trPr>
        <w:tc>
          <w:tcPr>
            <w:tcW w:w="2067" w:type="dxa"/>
            <w:vAlign w:val="center"/>
          </w:tcPr>
          <w:p w14:paraId="315F7973">
            <w:pPr>
              <w:spacing w:line="440" w:lineRule="exact"/>
              <w:jc w:val="distribute"/>
              <w:rPr>
                <w:b/>
                <w:sz w:val="28"/>
                <w:szCs w:val="28"/>
              </w:rPr>
            </w:pPr>
            <w:r>
              <w:rPr>
                <w:rFonts w:hint="eastAsia" w:cs="宋体"/>
                <w:b/>
                <w:sz w:val="28"/>
                <w:szCs w:val="28"/>
              </w:rPr>
              <w:t>项目名称：</w:t>
            </w:r>
          </w:p>
        </w:tc>
        <w:tc>
          <w:tcPr>
            <w:tcW w:w="6172" w:type="dxa"/>
            <w:tcBorders>
              <w:bottom w:val="single" w:color="auto" w:sz="4" w:space="0"/>
            </w:tcBorders>
            <w:vAlign w:val="center"/>
          </w:tcPr>
          <w:p w14:paraId="0AF6A6E5">
            <w:pPr>
              <w:spacing w:line="440" w:lineRule="exact"/>
              <w:ind w:firstLine="420" w:firstLineChars="150"/>
              <w:rPr>
                <w:sz w:val="28"/>
                <w:szCs w:val="28"/>
              </w:rPr>
            </w:pPr>
            <w:r>
              <w:rPr>
                <w:rFonts w:hint="default"/>
                <w:sz w:val="28"/>
                <w:szCs w:val="28"/>
              </w:rPr>
              <w:t>轻量级分组密码的软硬件优化研究与实现</w:t>
            </w:r>
          </w:p>
        </w:tc>
      </w:tr>
      <w:tr w14:paraId="78A2C543">
        <w:trPr>
          <w:cantSplit/>
          <w:trHeight w:val="841" w:hRule="atLeast"/>
          <w:jc w:val="center"/>
        </w:trPr>
        <w:tc>
          <w:tcPr>
            <w:tcW w:w="2067" w:type="dxa"/>
            <w:vAlign w:val="center"/>
          </w:tcPr>
          <w:p w14:paraId="0E480A83">
            <w:pPr>
              <w:spacing w:line="440" w:lineRule="exact"/>
              <w:jc w:val="distribute"/>
              <w:rPr>
                <w:b/>
                <w:sz w:val="28"/>
                <w:szCs w:val="28"/>
              </w:rPr>
            </w:pPr>
            <w:r>
              <w:rPr>
                <w:rFonts w:hint="eastAsia" w:cs="宋体"/>
                <w:b/>
                <w:sz w:val="28"/>
                <w:szCs w:val="28"/>
              </w:rPr>
              <w:t>项目编号：</w:t>
            </w:r>
          </w:p>
        </w:tc>
        <w:tc>
          <w:tcPr>
            <w:tcW w:w="6172" w:type="dxa"/>
            <w:tcBorders>
              <w:top w:val="single" w:color="auto" w:sz="4" w:space="0"/>
              <w:bottom w:val="single" w:color="auto" w:sz="4" w:space="0"/>
            </w:tcBorders>
            <w:vAlign w:val="center"/>
          </w:tcPr>
          <w:p w14:paraId="0E35EDB2">
            <w:pPr>
              <w:spacing w:line="440" w:lineRule="exact"/>
              <w:jc w:val="center"/>
              <w:rPr>
                <w:sz w:val="28"/>
                <w:szCs w:val="28"/>
              </w:rPr>
            </w:pPr>
            <w:r>
              <w:rPr>
                <w:rFonts w:hint="default"/>
                <w:sz w:val="28"/>
                <w:szCs w:val="28"/>
              </w:rPr>
              <w:t>CX20240977</w:t>
            </w:r>
          </w:p>
        </w:tc>
      </w:tr>
      <w:tr w14:paraId="72FDDE96">
        <w:trPr>
          <w:cantSplit/>
          <w:trHeight w:val="841" w:hRule="atLeast"/>
          <w:jc w:val="center"/>
        </w:trPr>
        <w:tc>
          <w:tcPr>
            <w:tcW w:w="2067" w:type="dxa"/>
            <w:vAlign w:val="center"/>
          </w:tcPr>
          <w:p w14:paraId="4D03F4A7">
            <w:pPr>
              <w:spacing w:line="440" w:lineRule="exact"/>
              <w:jc w:val="distribute"/>
              <w:rPr>
                <w:b/>
                <w:sz w:val="28"/>
                <w:szCs w:val="28"/>
              </w:rPr>
            </w:pPr>
            <w:r>
              <w:rPr>
                <w:rFonts w:hint="eastAsia" w:cs="宋体"/>
                <w:b/>
                <w:sz w:val="28"/>
                <w:szCs w:val="28"/>
              </w:rPr>
              <w:t>项目负责人：</w:t>
            </w:r>
          </w:p>
        </w:tc>
        <w:tc>
          <w:tcPr>
            <w:tcW w:w="6172" w:type="dxa"/>
            <w:tcBorders>
              <w:top w:val="single" w:color="auto" w:sz="4" w:space="0"/>
              <w:bottom w:val="single" w:color="auto" w:sz="4" w:space="0"/>
            </w:tcBorders>
            <w:vAlign w:val="center"/>
          </w:tcPr>
          <w:p w14:paraId="78B748B3">
            <w:pPr>
              <w:spacing w:line="440" w:lineRule="exact"/>
              <w:jc w:val="center"/>
              <w:rPr>
                <w:rFonts w:hint="default" w:eastAsia="宋体"/>
                <w:sz w:val="28"/>
                <w:szCs w:val="28"/>
                <w:lang w:val="en-US" w:eastAsia="zh-CN"/>
              </w:rPr>
            </w:pPr>
            <w:r>
              <w:rPr>
                <w:rFonts w:hint="eastAsia"/>
                <w:sz w:val="28"/>
                <w:szCs w:val="28"/>
                <w:lang w:val="en-US" w:eastAsia="zh-CN"/>
              </w:rPr>
              <w:t>向嘉豪</w:t>
            </w:r>
          </w:p>
        </w:tc>
      </w:tr>
      <w:tr w14:paraId="0FB76D8D">
        <w:trPr>
          <w:cantSplit/>
          <w:trHeight w:val="841" w:hRule="atLeast"/>
          <w:jc w:val="center"/>
        </w:trPr>
        <w:tc>
          <w:tcPr>
            <w:tcW w:w="2067" w:type="dxa"/>
            <w:vAlign w:val="center"/>
          </w:tcPr>
          <w:p w14:paraId="5A82F2DE">
            <w:pPr>
              <w:spacing w:line="440" w:lineRule="exact"/>
              <w:jc w:val="distribute"/>
              <w:rPr>
                <w:b/>
                <w:sz w:val="28"/>
                <w:szCs w:val="28"/>
              </w:rPr>
            </w:pPr>
            <w:r>
              <w:rPr>
                <w:rFonts w:hint="eastAsia" w:cs="宋体"/>
                <w:b/>
                <w:sz w:val="28"/>
                <w:szCs w:val="28"/>
              </w:rPr>
              <w:t>指导教师：</w:t>
            </w:r>
          </w:p>
        </w:tc>
        <w:tc>
          <w:tcPr>
            <w:tcW w:w="6172" w:type="dxa"/>
            <w:tcBorders>
              <w:top w:val="single" w:color="auto" w:sz="4" w:space="0"/>
              <w:bottom w:val="single" w:color="auto" w:sz="4" w:space="0"/>
            </w:tcBorders>
            <w:vAlign w:val="center"/>
          </w:tcPr>
          <w:p w14:paraId="7A71EC70">
            <w:pPr>
              <w:spacing w:line="440" w:lineRule="exact"/>
              <w:jc w:val="center"/>
              <w:rPr>
                <w:rFonts w:hint="eastAsia" w:eastAsia="宋体"/>
                <w:sz w:val="28"/>
                <w:szCs w:val="28"/>
                <w:lang w:val="en-US" w:eastAsia="zh-CN"/>
              </w:rPr>
            </w:pPr>
            <w:r>
              <w:rPr>
                <w:rFonts w:hint="eastAsia"/>
                <w:sz w:val="28"/>
                <w:szCs w:val="28"/>
                <w:lang w:val="en-US" w:eastAsia="zh-CN"/>
              </w:rPr>
              <w:t>李浪</w:t>
            </w:r>
          </w:p>
        </w:tc>
      </w:tr>
      <w:tr w14:paraId="6C404F04">
        <w:trPr>
          <w:cantSplit/>
          <w:trHeight w:val="841" w:hRule="atLeast"/>
          <w:jc w:val="center"/>
        </w:trPr>
        <w:tc>
          <w:tcPr>
            <w:tcW w:w="2067" w:type="dxa"/>
            <w:vAlign w:val="center"/>
          </w:tcPr>
          <w:p w14:paraId="1F77A1B0">
            <w:pPr>
              <w:spacing w:line="440" w:lineRule="exact"/>
              <w:jc w:val="distribute"/>
              <w:rPr>
                <w:b/>
                <w:sz w:val="28"/>
                <w:szCs w:val="28"/>
              </w:rPr>
            </w:pPr>
            <w:r>
              <w:rPr>
                <w:rFonts w:hint="eastAsia" w:cs="宋体"/>
                <w:b/>
                <w:sz w:val="28"/>
                <w:szCs w:val="28"/>
              </w:rPr>
              <w:t>学科专业：</w:t>
            </w:r>
          </w:p>
        </w:tc>
        <w:tc>
          <w:tcPr>
            <w:tcW w:w="6172" w:type="dxa"/>
            <w:tcBorders>
              <w:top w:val="single" w:color="auto" w:sz="4" w:space="0"/>
              <w:bottom w:val="single" w:color="auto" w:sz="4" w:space="0"/>
            </w:tcBorders>
            <w:vAlign w:val="center"/>
          </w:tcPr>
          <w:p w14:paraId="4FF81B5A">
            <w:pPr>
              <w:spacing w:line="440" w:lineRule="exact"/>
              <w:jc w:val="center"/>
              <w:rPr>
                <w:rFonts w:hint="default" w:eastAsia="宋体"/>
                <w:sz w:val="28"/>
                <w:szCs w:val="28"/>
                <w:lang w:val="en-US" w:eastAsia="zh-CN"/>
              </w:rPr>
            </w:pPr>
            <w:r>
              <w:rPr>
                <w:rFonts w:hint="eastAsia"/>
                <w:sz w:val="28"/>
                <w:szCs w:val="28"/>
                <w:lang w:val="en-US" w:eastAsia="zh-CN"/>
              </w:rPr>
              <w:t>电子信息</w:t>
            </w:r>
          </w:p>
        </w:tc>
      </w:tr>
      <w:tr w14:paraId="4578B6D3">
        <w:trPr>
          <w:cantSplit/>
          <w:trHeight w:val="841" w:hRule="atLeast"/>
          <w:jc w:val="center"/>
        </w:trPr>
        <w:tc>
          <w:tcPr>
            <w:tcW w:w="2067" w:type="dxa"/>
            <w:vAlign w:val="center"/>
          </w:tcPr>
          <w:p w14:paraId="672B2F87">
            <w:pPr>
              <w:spacing w:line="440" w:lineRule="exact"/>
              <w:jc w:val="distribute"/>
              <w:rPr>
                <w:b/>
                <w:sz w:val="28"/>
                <w:szCs w:val="28"/>
              </w:rPr>
            </w:pPr>
            <w:r>
              <w:rPr>
                <w:rFonts w:hint="eastAsia" w:cs="宋体"/>
                <w:b/>
                <w:sz w:val="28"/>
                <w:szCs w:val="28"/>
              </w:rPr>
              <w:t>所在单位：</w:t>
            </w:r>
          </w:p>
        </w:tc>
        <w:tc>
          <w:tcPr>
            <w:tcW w:w="6172" w:type="dxa"/>
            <w:tcBorders>
              <w:top w:val="single" w:color="auto" w:sz="4" w:space="0"/>
              <w:bottom w:val="single" w:color="auto" w:sz="4" w:space="0"/>
            </w:tcBorders>
            <w:vAlign w:val="center"/>
          </w:tcPr>
          <w:p w14:paraId="2F539349">
            <w:pPr>
              <w:spacing w:line="440" w:lineRule="exact"/>
              <w:jc w:val="center"/>
              <w:rPr>
                <w:sz w:val="28"/>
                <w:szCs w:val="28"/>
              </w:rPr>
            </w:pPr>
            <w:r>
              <w:rPr>
                <w:rFonts w:hint="eastAsia"/>
                <w:sz w:val="28"/>
                <w:szCs w:val="28"/>
              </w:rPr>
              <w:t>计算机科学与技术学院</w:t>
            </w:r>
          </w:p>
        </w:tc>
      </w:tr>
      <w:tr w14:paraId="0217977F">
        <w:trPr>
          <w:cantSplit/>
          <w:trHeight w:val="842" w:hRule="atLeast"/>
          <w:jc w:val="center"/>
        </w:trPr>
        <w:tc>
          <w:tcPr>
            <w:tcW w:w="2067" w:type="dxa"/>
            <w:vAlign w:val="center"/>
          </w:tcPr>
          <w:p w14:paraId="743BEDFB">
            <w:pPr>
              <w:spacing w:line="440" w:lineRule="exact"/>
              <w:jc w:val="distribute"/>
              <w:rPr>
                <w:b/>
                <w:sz w:val="28"/>
                <w:szCs w:val="28"/>
              </w:rPr>
            </w:pPr>
            <w:r>
              <w:rPr>
                <w:rFonts w:hint="eastAsia" w:cs="宋体"/>
                <w:b/>
                <w:sz w:val="28"/>
                <w:szCs w:val="28"/>
              </w:rPr>
              <w:t>联系电话：</w:t>
            </w:r>
          </w:p>
        </w:tc>
        <w:tc>
          <w:tcPr>
            <w:tcW w:w="6172" w:type="dxa"/>
            <w:tcBorders>
              <w:top w:val="single" w:color="auto" w:sz="4" w:space="0"/>
              <w:bottom w:val="single" w:color="auto" w:sz="4" w:space="0"/>
            </w:tcBorders>
            <w:vAlign w:val="center"/>
          </w:tcPr>
          <w:p w14:paraId="7128657D">
            <w:pPr>
              <w:spacing w:line="440" w:lineRule="exact"/>
              <w:jc w:val="center"/>
              <w:rPr>
                <w:rFonts w:hint="default" w:eastAsia="宋体"/>
                <w:sz w:val="28"/>
                <w:szCs w:val="28"/>
                <w:lang w:val="en-US" w:eastAsia="zh-CN"/>
              </w:rPr>
            </w:pPr>
            <w:r>
              <w:rPr>
                <w:rFonts w:hint="eastAsia"/>
                <w:sz w:val="28"/>
                <w:szCs w:val="28"/>
                <w:lang w:val="en-US" w:eastAsia="zh-CN"/>
              </w:rPr>
              <w:t>13087286239</w:t>
            </w:r>
          </w:p>
        </w:tc>
      </w:tr>
      <w:tr w14:paraId="378A285D">
        <w:trPr>
          <w:cantSplit/>
          <w:trHeight w:val="842" w:hRule="atLeast"/>
          <w:jc w:val="center"/>
        </w:trPr>
        <w:tc>
          <w:tcPr>
            <w:tcW w:w="2067" w:type="dxa"/>
            <w:vAlign w:val="center"/>
          </w:tcPr>
          <w:p w14:paraId="12ACF654">
            <w:pPr>
              <w:spacing w:line="440" w:lineRule="exact"/>
              <w:jc w:val="distribute"/>
              <w:rPr>
                <w:b/>
                <w:sz w:val="28"/>
                <w:szCs w:val="28"/>
              </w:rPr>
            </w:pPr>
            <w:r>
              <w:rPr>
                <w:rFonts w:hint="eastAsia" w:cs="宋体"/>
                <w:b/>
                <w:sz w:val="28"/>
                <w:szCs w:val="28"/>
              </w:rPr>
              <w:t>起止年月：</w:t>
            </w:r>
          </w:p>
        </w:tc>
        <w:tc>
          <w:tcPr>
            <w:tcW w:w="6172" w:type="dxa"/>
            <w:tcBorders>
              <w:top w:val="single" w:color="auto" w:sz="4" w:space="0"/>
              <w:bottom w:val="single" w:color="auto" w:sz="4" w:space="0"/>
            </w:tcBorders>
            <w:vAlign w:val="center"/>
          </w:tcPr>
          <w:p w14:paraId="6831E7CB">
            <w:pPr>
              <w:spacing w:line="440" w:lineRule="exact"/>
              <w:jc w:val="center"/>
              <w:rPr>
                <w:sz w:val="28"/>
                <w:szCs w:val="28"/>
              </w:rPr>
            </w:pPr>
            <w:r>
              <w:rPr>
                <w:rFonts w:hint="eastAsia"/>
                <w:sz w:val="28"/>
                <w:szCs w:val="28"/>
              </w:rPr>
              <w:t>20</w:t>
            </w:r>
            <w:r>
              <w:rPr>
                <w:sz w:val="28"/>
                <w:szCs w:val="28"/>
              </w:rPr>
              <w:t>2</w:t>
            </w:r>
            <w:r>
              <w:rPr>
                <w:rFonts w:hint="eastAsia"/>
                <w:sz w:val="28"/>
                <w:szCs w:val="28"/>
                <w:lang w:val="en-US" w:eastAsia="zh-CN"/>
              </w:rPr>
              <w:t>4</w:t>
            </w:r>
            <w:r>
              <w:rPr>
                <w:rFonts w:hint="eastAsia"/>
                <w:sz w:val="28"/>
                <w:szCs w:val="28"/>
              </w:rPr>
              <w:t>年</w:t>
            </w:r>
            <w:r>
              <w:rPr>
                <w:rFonts w:hint="eastAsia"/>
                <w:sz w:val="28"/>
                <w:szCs w:val="28"/>
                <w:lang w:val="en-US" w:eastAsia="zh-CN"/>
              </w:rPr>
              <w:t>9</w:t>
            </w:r>
            <w:r>
              <w:rPr>
                <w:rFonts w:hint="eastAsia"/>
                <w:sz w:val="28"/>
                <w:szCs w:val="28"/>
              </w:rPr>
              <w:t>月至20</w:t>
            </w:r>
            <w:r>
              <w:rPr>
                <w:sz w:val="28"/>
                <w:szCs w:val="28"/>
              </w:rPr>
              <w:t>2</w:t>
            </w:r>
            <w:r>
              <w:rPr>
                <w:rFonts w:hint="eastAsia"/>
                <w:sz w:val="28"/>
                <w:szCs w:val="28"/>
                <w:lang w:val="en-US" w:eastAsia="zh-CN"/>
              </w:rPr>
              <w:t>6</w:t>
            </w:r>
            <w:r>
              <w:rPr>
                <w:rFonts w:hint="eastAsia"/>
                <w:sz w:val="28"/>
                <w:szCs w:val="28"/>
              </w:rPr>
              <w:t>年</w:t>
            </w:r>
            <w:r>
              <w:rPr>
                <w:rFonts w:hint="eastAsia"/>
                <w:sz w:val="28"/>
                <w:szCs w:val="28"/>
                <w:lang w:val="en-US" w:eastAsia="zh-CN"/>
              </w:rPr>
              <w:t>9</w:t>
            </w:r>
            <w:r>
              <w:rPr>
                <w:rFonts w:hint="eastAsia"/>
                <w:sz w:val="28"/>
                <w:szCs w:val="28"/>
              </w:rPr>
              <w:t>月</w:t>
            </w:r>
          </w:p>
        </w:tc>
      </w:tr>
    </w:tbl>
    <w:p w14:paraId="6437AA96">
      <w:pPr>
        <w:spacing w:before="1560" w:line="360" w:lineRule="auto"/>
        <w:jc w:val="center"/>
        <w:rPr>
          <w:spacing w:val="160"/>
          <w:sz w:val="28"/>
          <w:szCs w:val="28"/>
        </w:rPr>
      </w:pPr>
      <w:r>
        <w:rPr>
          <w:rFonts w:hint="eastAsia" w:ascii="宋体" w:hAnsi="宋体" w:cs="宋体"/>
          <w:spacing w:val="160"/>
          <w:sz w:val="28"/>
          <w:szCs w:val="28"/>
        </w:rPr>
        <w:t>湖南省教育厅</w:t>
      </w:r>
    </w:p>
    <w:p w14:paraId="3B65EA40">
      <w:pPr>
        <w:spacing w:line="360" w:lineRule="auto"/>
        <w:jc w:val="center"/>
        <w:rPr>
          <w:rFonts w:hint="eastAsia"/>
          <w:sz w:val="28"/>
          <w:szCs w:val="28"/>
        </w:rPr>
      </w:pPr>
      <w:r>
        <w:rPr>
          <w:rFonts w:ascii="宋体" w:hAnsi="宋体" w:cs="宋体"/>
          <w:sz w:val="28"/>
          <w:szCs w:val="28"/>
        </w:rPr>
        <w:t>20</w:t>
      </w:r>
      <w:r>
        <w:rPr>
          <w:rFonts w:hint="eastAsia" w:ascii="宋体" w:hAnsi="宋体" w:cs="宋体"/>
          <w:sz w:val="28"/>
          <w:szCs w:val="28"/>
        </w:rPr>
        <w:t>2</w:t>
      </w:r>
      <w:r>
        <w:rPr>
          <w:rFonts w:hint="eastAsia" w:ascii="宋体" w:hAnsi="宋体" w:cs="宋体"/>
          <w:sz w:val="28"/>
          <w:szCs w:val="28"/>
          <w:lang w:val="en-US" w:eastAsia="zh-CN"/>
        </w:rPr>
        <w:t>3</w:t>
      </w:r>
      <w:r>
        <w:rPr>
          <w:rFonts w:hint="eastAsia" w:ascii="宋体" w:hAnsi="宋体" w:cs="宋体"/>
          <w:sz w:val="28"/>
          <w:szCs w:val="28"/>
        </w:rPr>
        <w:t>年制</w:t>
      </w:r>
    </w:p>
    <w:p w14:paraId="6A9E2D35">
      <w:pPr>
        <w:spacing w:line="400" w:lineRule="exact"/>
        <w:rPr>
          <w:sz w:val="28"/>
          <w:szCs w:val="28"/>
        </w:rPr>
      </w:pPr>
      <w:r>
        <w:t> </w:t>
      </w:r>
    </w:p>
    <w:p w14:paraId="6A8D6B7B">
      <w:pPr>
        <w:tabs>
          <w:tab w:val="right" w:pos="9085"/>
        </w:tabs>
        <w:spacing w:line="400" w:lineRule="exact"/>
        <w:rPr>
          <w:rFonts w:hint="eastAsia" w:eastAsia="宋体"/>
          <w:sz w:val="20"/>
          <w:szCs w:val="20"/>
          <w:lang w:eastAsia="zh-CN"/>
        </w:rPr>
      </w:pPr>
    </w:p>
    <w:p w14:paraId="7A55C20D">
      <w:pPr>
        <w:tabs>
          <w:tab w:val="right" w:pos="9085"/>
        </w:tabs>
        <w:spacing w:line="400" w:lineRule="exact"/>
        <w:rPr>
          <w:rFonts w:hint="eastAsia" w:eastAsia="宋体"/>
          <w:sz w:val="20"/>
          <w:szCs w:val="20"/>
          <w:lang w:eastAsia="zh-CN"/>
        </w:rPr>
      </w:pPr>
    </w:p>
    <w:p w14:paraId="1879F005">
      <w:pPr>
        <w:tabs>
          <w:tab w:val="right" w:pos="9085"/>
        </w:tabs>
        <w:spacing w:line="400" w:lineRule="exact"/>
        <w:rPr>
          <w:rFonts w:hint="eastAsia" w:eastAsia="宋体"/>
          <w:sz w:val="20"/>
          <w:szCs w:val="20"/>
          <w:lang w:eastAsia="zh-CN"/>
        </w:rPr>
      </w:pPr>
    </w:p>
    <w:p w14:paraId="683C8964">
      <w:pPr>
        <w:tabs>
          <w:tab w:val="right" w:pos="9085"/>
        </w:tabs>
        <w:spacing w:line="400" w:lineRule="exact"/>
        <w:rPr>
          <w:rFonts w:hint="eastAsia" w:eastAsia="宋体"/>
          <w:sz w:val="20"/>
          <w:szCs w:val="20"/>
          <w:lang w:eastAsia="zh-CN"/>
        </w:rPr>
      </w:pPr>
    </w:p>
    <w:p w14:paraId="3A7A002C">
      <w:pPr>
        <w:tabs>
          <w:tab w:val="right" w:pos="9085"/>
        </w:tabs>
        <w:spacing w:line="400" w:lineRule="exact"/>
        <w:rPr>
          <w:rFonts w:hint="eastAsia" w:eastAsia="宋体"/>
          <w:sz w:val="20"/>
          <w:szCs w:val="20"/>
          <w:lang w:eastAsia="zh-CN"/>
        </w:rPr>
      </w:pPr>
    </w:p>
    <w:p w14:paraId="21795E19">
      <w:pPr>
        <w:tabs>
          <w:tab w:val="right" w:pos="9085"/>
        </w:tabs>
        <w:spacing w:line="400" w:lineRule="exact"/>
        <w:rPr>
          <w:rFonts w:hint="eastAsia" w:eastAsia="宋体"/>
          <w:sz w:val="20"/>
          <w:szCs w:val="20"/>
          <w:lang w:eastAsia="zh-CN"/>
        </w:rPr>
      </w:pPr>
    </w:p>
    <w:p w14:paraId="0994428C">
      <w:pPr>
        <w:tabs>
          <w:tab w:val="right" w:pos="9085"/>
        </w:tabs>
        <w:spacing w:line="400" w:lineRule="exact"/>
        <w:rPr>
          <w:rFonts w:hint="eastAsia" w:eastAsia="宋体"/>
          <w:sz w:val="20"/>
          <w:szCs w:val="20"/>
          <w:lang w:eastAsia="zh-CN"/>
        </w:rPr>
      </w:pPr>
    </w:p>
    <w:p w14:paraId="23DA4EA7">
      <w:pPr>
        <w:tabs>
          <w:tab w:val="right" w:pos="9085"/>
        </w:tabs>
        <w:spacing w:line="400" w:lineRule="exact"/>
        <w:rPr>
          <w:rFonts w:hint="eastAsia" w:eastAsia="宋体"/>
          <w:sz w:val="20"/>
          <w:szCs w:val="20"/>
          <w:lang w:eastAsia="zh-CN"/>
        </w:rPr>
      </w:pPr>
    </w:p>
    <w:p w14:paraId="3A051D94">
      <w:pPr>
        <w:tabs>
          <w:tab w:val="right" w:pos="9085"/>
        </w:tabs>
        <w:spacing w:line="400" w:lineRule="exact"/>
        <w:rPr>
          <w:rFonts w:hint="eastAsia" w:eastAsia="宋体"/>
          <w:sz w:val="20"/>
          <w:szCs w:val="20"/>
          <w:lang w:eastAsia="zh-CN"/>
        </w:rPr>
      </w:pPr>
    </w:p>
    <w:p w14:paraId="34FDD8BB">
      <w:pPr>
        <w:tabs>
          <w:tab w:val="right" w:pos="9085"/>
        </w:tabs>
        <w:spacing w:line="400" w:lineRule="exact"/>
        <w:rPr>
          <w:rFonts w:hint="eastAsia" w:eastAsia="宋体"/>
          <w:sz w:val="20"/>
          <w:szCs w:val="20"/>
          <w:lang w:eastAsia="zh-CN"/>
        </w:rPr>
      </w:pPr>
    </w:p>
    <w:p w14:paraId="1B5A2A29">
      <w:pPr>
        <w:tabs>
          <w:tab w:val="right" w:pos="9085"/>
        </w:tabs>
        <w:spacing w:line="400" w:lineRule="exact"/>
        <w:rPr>
          <w:rFonts w:hint="eastAsia" w:eastAsia="宋体"/>
          <w:sz w:val="20"/>
          <w:szCs w:val="20"/>
          <w:lang w:eastAsia="zh-CN"/>
        </w:rPr>
      </w:pPr>
    </w:p>
    <w:p w14:paraId="195AD023">
      <w:pPr>
        <w:numPr>
          <w:ilvl w:val="0"/>
          <w:numId w:val="1"/>
        </w:numPr>
        <w:spacing w:after="62" w:line="400" w:lineRule="exact"/>
        <w:ind w:firstLine="420" w:firstLineChars="150"/>
        <w:rPr>
          <w:rFonts w:hint="eastAsia" w:eastAsia="黑体"/>
          <w:b/>
          <w:bCs/>
        </w:rPr>
      </w:pPr>
      <w:r>
        <w:rPr>
          <w:sz w:val="28"/>
          <w:szCs w:val="28"/>
        </w:rPr>
        <w:br w:type="page"/>
      </w:r>
      <w:r>
        <w:rPr>
          <w:rFonts w:hint="eastAsia" w:eastAsia="黑体"/>
          <w:b/>
          <w:bCs/>
        </w:rPr>
        <w:t>研究工作总结</w:t>
      </w:r>
    </w:p>
    <w:tbl>
      <w:tblPr>
        <w:tblStyle w:val="4"/>
        <w:tblW w:w="913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5"/>
      </w:tblGrid>
      <w:tr w14:paraId="79B9C170">
        <w:tc>
          <w:tcPr>
            <w:tcW w:w="9135" w:type="dxa"/>
            <w:tcBorders>
              <w:top w:val="single" w:color="auto" w:sz="4" w:space="0"/>
              <w:left w:val="single" w:color="auto" w:sz="4" w:space="0"/>
              <w:bottom w:val="single" w:color="auto" w:sz="4" w:space="0"/>
              <w:right w:val="single" w:color="auto" w:sz="4" w:space="0"/>
            </w:tcBorders>
            <w:noWrap w:val="0"/>
            <w:vAlign w:val="top"/>
          </w:tcPr>
          <w:p w14:paraId="18CA944A">
            <w:pPr>
              <w:spacing w:line="360" w:lineRule="exact"/>
              <w:ind w:firstLine="315"/>
            </w:pPr>
            <w:r>
              <w:rPr>
                <w:rFonts w:hint="eastAsia" w:cs="宋体"/>
              </w:rPr>
              <w:t>请按照下列提纲编写，要求简明扼要，实事求是，以学术总结为主。</w:t>
            </w:r>
          </w:p>
          <w:p w14:paraId="4EE37E63">
            <w:pPr>
              <w:numPr>
                <w:ilvl w:val="0"/>
                <w:numId w:val="2"/>
              </w:numPr>
              <w:spacing w:line="360" w:lineRule="exact"/>
              <w:ind w:left="720"/>
              <w:rPr>
                <w:rFonts w:cs="宋体"/>
              </w:rPr>
            </w:pPr>
            <w:r>
              <w:rPr>
                <w:rFonts w:hint="eastAsia" w:cs="宋体"/>
              </w:rPr>
              <w:t>主要研究内容及研究方法。</w:t>
            </w:r>
          </w:p>
          <w:p w14:paraId="2AFB42E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eastAsia" w:cs="宋体"/>
                <w:b/>
                <w:bCs/>
                <w:lang w:val="en-US" w:eastAsia="zh-CN"/>
              </w:rPr>
              <w:t>主要研究内容</w:t>
            </w:r>
            <w:r>
              <w:rPr>
                <w:rFonts w:hint="default" w:cs="宋体"/>
                <w:b/>
                <w:bCs/>
                <w:lang w:val="en-US" w:eastAsia="zh-CN"/>
              </w:rPr>
              <w:t>:</w:t>
            </w:r>
            <w:r>
              <w:rPr>
                <w:rFonts w:hint="default" w:cs="宋体"/>
                <w:lang w:val="en-US" w:eastAsia="zh-CN"/>
              </w:rPr>
              <w:t xml:space="preserve"> 本项目针对密码算法在受限环境下的高效实现问题，从现代密码学工程和硬件加速的理论基础出发，构造适用于物联网、车联网等受限环境的密码算法优化实现方案。具体研究内容包括：</w:t>
            </w:r>
          </w:p>
          <w:p w14:paraId="4F2BBC1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研究轻量级密码算法在IoT处理器上的位切片优化实现。针对32位处理器的指令集限制和寄存器约束，设计高效的位切片SPN密码实现方案，优化线性层置换操作和非线性层S盒变换。研究后量子密码算法在GPU平台的高吞吐量并行架构。针对FIPS 205标准的SLH-DSA算法，设计自适应线程分配和函数级并行的GPU加速方案，实现大规模并行签名生成。研究密码算法组件的跨平台优化技术。通过置换优化算法（OPO）和改进的位切片门复杂度（BGC）模型，实现密码组件在不同硬件平台上的高效映射和执行。研究密码实现的性能评估与基准测试方法。建立标准化的轻量级密码基准测试框架，为密码算法在各种硬件平台上的性能对比提供客观依据。</w:t>
            </w:r>
          </w:p>
          <w:p w14:paraId="33E81BB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研究方法:</w:t>
            </w:r>
            <w:r>
              <w:rPr>
                <w:rFonts w:hint="default" w:cs="宋体"/>
                <w:lang w:val="en-US" w:eastAsia="zh-CN"/>
              </w:rPr>
              <w:t xml:space="preserve"> 文献研究法。通过阅读大量密码算法优化实现、位切片技术、GPU并行计算和后量子密码学相关文献，确保课题的前沿性和可行性，深入了解密码工程领域的相关研究进展，从文献中获取IoT处理器面临的计算约束、GPU并行密码学的技术挑战以及课题相关的国际研究动态。对比分析法。结合已有的密码算法实现方案，对比分析基于查找表实现与基于位切片实现的性能差异，比较不同硬件平台（ARM Cortex-M、Xtensa LX、NVIDIA GPU）上的实现效率和资源需求，以便更好地进行面向特定平台的密码算法优化研究。实验论证分析法。对现有的以及本课题研究的密码算法优化方案进行仿真实验和实物测试，在ARM Cortex-M微控制器、NVIDIA RTX 4090 GPU等实际硬件平台上测试吞吐率、延迟、内存使用等关键性能指标，验证优化方法的有效性。</w:t>
            </w:r>
          </w:p>
          <w:p w14:paraId="754E09DD">
            <w:pPr>
              <w:spacing w:line="360" w:lineRule="exact"/>
              <w:ind w:left="720"/>
              <w:rPr>
                <w:rFonts w:hint="eastAsia"/>
                <w:szCs w:val="21"/>
              </w:rPr>
            </w:pPr>
          </w:p>
          <w:p w14:paraId="40EF40AB">
            <w:pPr>
              <w:numPr>
                <w:ilvl w:val="0"/>
                <w:numId w:val="2"/>
              </w:numPr>
              <w:spacing w:line="360" w:lineRule="exact"/>
              <w:ind w:left="720"/>
            </w:pPr>
            <w:r>
              <w:rPr>
                <w:rFonts w:hint="eastAsia" w:cs="宋体"/>
              </w:rPr>
              <w:t>主要研究成果。特别要说明主要的科学发现和创新之处，并有具体的内容和必要的数据。</w:t>
            </w:r>
          </w:p>
          <w:p w14:paraId="0807C29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针对IoT处理器的位切片密码优化实现: </w:t>
            </w:r>
            <w:r>
              <w:rPr>
                <w:rFonts w:hint="default" w:cs="宋体"/>
                <w:lang w:val="en-US" w:eastAsia="zh-CN"/>
              </w:rPr>
              <w:t>本项目提出了置换优化算法和改进的S盒编码方法</w:t>
            </w:r>
            <w:r>
              <w:rPr>
                <w:rFonts w:hint="eastAsia" w:cs="宋体"/>
                <w:lang w:val="en-US" w:eastAsia="zh-CN"/>
              </w:rPr>
              <w:t>。</w:t>
            </w:r>
            <w:r>
              <w:rPr>
                <w:rFonts w:hint="default" w:cs="宋体"/>
                <w:lang w:val="en-US" w:eastAsia="zh-CN"/>
              </w:rPr>
              <w:t>IoT设备广泛应用于智慧城市、工业控制等关键领域，然而32位处理器的有限指令集和寄存器约束使得传统密码实现效率低下。本项目提出了一种针对位切片SPN密码的系统性优化方案，实现了性能提升。</w:t>
            </w:r>
          </w:p>
          <w:p w14:paraId="5C97E6D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设计了置换优化算法（OPO），通过分割合并技术将复杂的置换操作转化为较少的指令序列。该算法递归识别较优指令组合，在保持计算效率的同时减少执行延迟和代码大小。以QARMAv2密码为例，通过掩码合并特性和移位分解特性，将置换操作从14个置换原语操作（PPO）优化到5个，实现了64.3%的指令数量减少。</w:t>
            </w:r>
          </w:p>
          <w:p w14:paraId="56ED13B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为了优化非线性层S盒实现，项目组改进了位切片门复杂度（BGC）模型的编码方法。传统BGC模型求解速度较慢，项目组基于代数标准形（ANF）框架设计了新的编码方案，通过简化约束函数来降低计算复杂度。与现有方法相比，该方法在7种密码S盒上实现了11.7%-86.1%的时间减少，平均加速比达到3.19倍。</w:t>
            </w:r>
          </w:p>
          <w:p w14:paraId="4E5A4A9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三，项目组对AES和QARMAv2两种代表性SPN密码进行了全面的优化实现。对于AES，通过ShiftRow优化将PPO操作从6个减少到4个，在STM32L476平台上实现了252.06每字节周期数（CPB），相比基准实现提升9.7%。对于QARMAv2，项目组首次提出了该算法的位切片软件实现，在相同平台上达到684.50 CPB，相比查找表实现具有优势。</w:t>
            </w:r>
          </w:p>
          <w:p w14:paraId="0C202D1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第四，为了验证优化方法的通用性，项目组开发了轻量级密码基准测试（LCB）框架，支持ARM Cortex-M和ESP32-S3微控制器的标准化性能评估。实验结果表明，优化后的实现在保持密码安全性的同时，改善了资源受限环境下的执行效率。</w:t>
            </w:r>
          </w:p>
          <w:p w14:paraId="17FF8944">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针对GPU平台的后量子密码加速: </w:t>
            </w:r>
            <w:r>
              <w:rPr>
                <w:rFonts w:hint="default" w:cs="宋体"/>
                <w:lang w:val="en-US" w:eastAsia="zh-CN"/>
              </w:rPr>
              <w:t>本项目设计了线程自适应的高吞吐量并行架构</w:t>
            </w:r>
            <w:r>
              <w:rPr>
                <w:rFonts w:hint="eastAsia" w:cs="宋体"/>
                <w:lang w:val="en-US" w:eastAsia="zh-CN"/>
              </w:rPr>
              <w:t>，</w:t>
            </w:r>
            <w:r>
              <w:rPr>
                <w:rFonts w:hint="default" w:cs="宋体"/>
                <w:lang w:val="en-US" w:eastAsia="zh-CN"/>
              </w:rPr>
              <w:t>随着量子计算技术的发展，传统密码系统面临威胁，后量子密码算法的高效实现成为迫切需求。本项目针对FIPS 205标准的SLH-DSA算法，提出了GPU并行架构设计。</w:t>
            </w:r>
          </w:p>
          <w:p w14:paraId="76245A6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首先，项目组提出了自适应线程分配（ATA）方法，通过精确的性能建模来动态优化线程配置。建立了执行时间模型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，其中</w:t>
            </w:r>
            <m:oMath>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oMath>
            <w:r>
              <w:rPr>
                <w:rFonts w:hint="default" w:cs="宋体"/>
                <w:lang w:val="en-US" w:eastAsia="zh-CN"/>
              </w:rPr>
              <w:t>表示与线程数无关的计算开销，</w:t>
            </w:r>
            <m:oMath>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反映可并行化的工作量组件，</w:t>
            </w:r>
            <m:oMath>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default" w:cs="宋体"/>
                <w:lang w:val="en-US" w:eastAsia="zh-CN"/>
              </w:rPr>
              <w:t>量化线程管理开销。通过最小化该模型，得到优化的线程分配公式</w:t>
            </w:r>
            <m:oMath>
              <m:sSubSup>
                <m:sSubSupPr>
                  <m:ctrlPr>
                    <w:rPr>
                      <w:rFonts w:hint="default" w:ascii="DejaVu Math TeX Gyre" w:hAnsi="DejaVu Math TeX Gyre"/>
                      <w:sz w:val="21"/>
                    </w:rPr>
                  </m:ctrlPr>
                </m:sSubSupPr>
                <m:e>
                  <m:r>
                    <m:rPr/>
                    <w:rPr>
                      <w:rFonts w:hint="default" w:ascii="DejaVu Math TeX Gyre" w:hAnsi="DejaVu Math TeX Gyre"/>
                      <w:sz w:val="21"/>
                    </w:rPr>
                    <m:t>t</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up>
                  <m:r>
                    <m:rPr/>
                    <w:rPr>
                      <w:rFonts w:hint="default" w:ascii="DejaVu Math TeX Gyre" w:hAnsi="DejaVu Math TeX Gyre"/>
                      <w:sz w:val="21"/>
                    </w:rPr>
                    <m:t>∗</m:t>
                  </m:r>
                  <m:ctrlPr>
                    <w:rPr>
                      <w:rFonts w:ascii="DejaVu Math TeX Gyre" w:hAnsi="DejaVu Math TeX Gyre"/>
                      <w:sz w:val="21"/>
                    </w:rPr>
                  </m:ctrlPr>
                </m:sup>
              </m:sSubSup>
              <m:r>
                <m:rPr/>
                <w:rPr>
                  <w:rFonts w:hint="default" w:ascii="DejaVu Math TeX Gyre" w:hAnsi="DejaVu Math TeX Gyre"/>
                  <w:sz w:val="21"/>
                </w:rPr>
                <m:t>=sqrt(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oMath>
            <w:r>
              <w:rPr>
                <w:rFonts w:hint="default" w:cs="宋体"/>
                <w:lang w:val="en-US" w:eastAsia="zh-CN"/>
              </w:rPr>
              <w:t>。实验结果表明，相比统一线程分配，该方法避免了复杂操作中的线程竞争和简单函数中的管理开销。</w:t>
            </w:r>
          </w:p>
          <w:p w14:paraId="1D08AC47">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设计了函数级并行（FLP）方法，将密码操作分解为可并发执行的细粒度计算任务。对于WOTS+组件，通过将独立的哈希链分配给不同GPU线程实现并行计算；对于FORS组件，采用细粒度并行生成k×2^a个密钥元素和叶节点；对于Hypertree组件，应用半并行方法跨多个Merkle树层进行处理。</w:t>
            </w:r>
          </w:p>
          <w:p w14:paraId="528BB70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第三，在NVIDIA RTX 4090 GPU上的性能评估显示，优化后的SLH-DSA实现达到62,239签名/秒的吞吐量，相比最新的同类工作提升1.16倍。具体地，相比Kim等人的工作，密钥生成、签名生成和验证的吞吐量分别提升2.20倍、1.41倍和1.76倍；相比Wang等人在相同硬件上的实现，分别提升1.11倍、1.16倍和1.43倍。</w:t>
            </w:r>
          </w:p>
          <w:p w14:paraId="21EDDCF3">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第四，通过组件分析发现Hypertree构建占用了94.42%的执行时间，成为主要瓶颈，这为未来的优化方向提供了重要指导。项目组的架构设计不仅提升了单一参数集的性能，还在不同安全级别（128位、192位）的参数集上都展现了良好的可扩展性。</w:t>
            </w:r>
          </w:p>
          <w:p w14:paraId="10CCA618">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基于核密度估计的标签相关性优化: </w:t>
            </w:r>
            <w:r>
              <w:rPr>
                <w:rFonts w:hint="default" w:cs="宋体"/>
                <w:lang w:val="en-US" w:eastAsia="zh-CN"/>
              </w:rPr>
              <w:t>本项目提出了深度学习侧信道分析的标签分布学习方法</w:t>
            </w:r>
            <w:r>
              <w:rPr>
                <w:rFonts w:hint="eastAsia" w:cs="宋体"/>
                <w:lang w:val="en-US" w:eastAsia="zh-CN"/>
              </w:rPr>
              <w:t>，</w:t>
            </w:r>
            <w:r>
              <w:rPr>
                <w:rFonts w:hint="default" w:cs="宋体"/>
                <w:lang w:val="en-US" w:eastAsia="zh-CN"/>
              </w:rPr>
              <w:t>传统的深度学习侧信道分析方法依赖概率密度函数计算标签间分布关系，但这种方法需要预设参数且对分布类型有假设要求。本项目提出了基于核密度估计（KDE）的标签分布学习方法，解决了参数假设问题并提升了攻击性能。</w:t>
            </w:r>
          </w:p>
          <w:p w14:paraId="24F8F11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首先，项目组采用核密度估计方法计算标签间的分布关系。该方法无需预先假设参数，而是通过高斯核函数和适当的带宽自动学习密度分布形状。使用渐近均方积分误差（AMISE）最小化方法选择最优带宽，在ASCAD数据集上计算得出的最优带宽为0.27。实验结果表明，相比传统概率密度函数方法，KDE方法在攻击所需轨迹数量上减少了1000-1500条。</w:t>
            </w:r>
          </w:p>
          <w:p w14:paraId="1DD4A359">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其次，项目组提出了样本局部相关性学习（LDL-SCL）方法，利用功耗轨迹间的相关性来增强攻击性能。该方法通过欧几里得距离计算样本间相关性，为每个样本构建局部相关向量，将相似样本的标签信息用于预测。在ASCAD_f数据集上，该方法仅需800条训练轨迹即可成功完成攻击，相比传统LDL方法减少了75%的训练需求。</w:t>
            </w:r>
          </w:p>
          <w:p w14:paraId="73AA1353">
            <w:pPr>
              <w:keepNext w:val="0"/>
              <w:keepLines w:val="0"/>
              <w:pageBreakBefore w:val="0"/>
              <w:widowControl w:val="0"/>
              <w:numPr>
                <w:ilvl w:val="0"/>
                <w:numId w:val="3"/>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项目组采用信噪比（SNR）方法对数据集进行重新提取和降维处理，将每个数据的功耗点压缩至500维。通过选择SNR最高的功耗点，有效减少了噪声干扰，提升了攻击效率。实验结果显示，在重新提取的数据集上，使用2000条训练轨迹即可将猜测熵降至零，相比原始数据集所需的50000条轨迹减少了96%。</w:t>
            </w:r>
          </w:p>
          <w:p w14:paraId="50CCE94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b/>
                <w:bCs/>
                <w:lang w:val="en-US" w:eastAsia="zh-CN"/>
              </w:rPr>
              <w:t xml:space="preserve">基于多标签学习的多字节攻击模型: </w:t>
            </w:r>
            <w:r>
              <w:rPr>
                <w:rFonts w:hint="default" w:cs="宋体"/>
                <w:lang w:val="en-US" w:eastAsia="zh-CN"/>
              </w:rPr>
              <w:t>本项目设计了TripM架构实现并行密钥恢复</w:t>
            </w:r>
            <w:r>
              <w:rPr>
                <w:rFonts w:hint="eastAsia" w:cs="宋体"/>
                <w:lang w:val="en-US" w:eastAsia="zh-CN"/>
              </w:rPr>
              <w:t>，</w:t>
            </w:r>
            <w:r>
              <w:rPr>
                <w:rFonts w:hint="default" w:cs="宋体"/>
                <w:lang w:val="en-US" w:eastAsia="zh-CN"/>
              </w:rPr>
              <w:t>传统的深度学习侧信道攻击主要关注单字节恢复，需要训练16个模型才能恢复完整的AES密钥，这种方法时间消耗大且计算开销高。本项目提出了TripM（Triple-keys attack Model）模型，能够在单次训练中同时恢复三个密钥字节。</w:t>
            </w:r>
          </w:p>
          <w:p w14:paraId="38B7148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首先，项目组引入了标签分组（Label Groups）概念并提供了数学理论证明。将传统的one-hot编码标签划分为多个独立的标签组，每组包含一个密钥字节的泄露信息。在AES算法中，每个标签组大小为256（2^8），分别对应第3、4、5字节的S盒输出。通过数学证明建立了密钥空间与泄露空间之间的双射关系，验证了标签分组在侧信道分析中的可行性。</w:t>
            </w:r>
          </w:p>
          <w:p w14:paraId="5F8A9C72">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其次，TripM模型采用了权重共享的双分支卷积神经网络架构。两个相同的卷积分支使用相同的权重参数，这种设计不仅减少了模型参数数量（多字节攻击减少13.14%，单字节攻击减少23.92%），还提升了特征提取能力。实验结果表明，权重共享技术使训练速度在多字节攻击下提升44.46%，在单字节攻击下提升37.45%。</w:t>
            </w:r>
          </w:p>
          <w:p w14:paraId="1390621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第三，项目组实现了多线程并行密钥恢复策略。在攻击阶段，三个线程并发计算3字节的猜测熵值，将传统的顺序密钥攻击转换为并发恢复过程。实验结果显示，平均每字节恢复时间仅需5.1秒，相比传统方法效率提升显著。</w:t>
            </w:r>
          </w:p>
          <w:p w14:paraId="4EC24F71">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firstLine="420" w:firstLineChars="200"/>
              <w:textAlignment w:val="auto"/>
              <w:rPr>
                <w:rFonts w:hint="default" w:cs="宋体"/>
                <w:lang w:val="en-US" w:eastAsia="zh-CN"/>
              </w:rPr>
            </w:pPr>
            <w:r>
              <w:rPr>
                <w:rFonts w:hint="default" w:cs="宋体"/>
                <w:lang w:val="en-US" w:eastAsia="zh-CN"/>
              </w:rPr>
              <w:t>第四，在ASCAD和TinyPower数据集上的性能评估显示，TripM模型平均需要80条轨迹（ASCAD）和89条轨迹（TinyPower）即可恢复密钥。相比传统单字节攻击方法，全轮攻击时间减少了28.7%（从1808秒减少到1288秒），验证了多字节攻击策略的有效性。</w:t>
            </w:r>
          </w:p>
          <w:p w14:paraId="0916B6D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b/>
                <w:bCs/>
                <w:lang w:val="en-US" w:eastAsia="zh-CN"/>
              </w:rPr>
              <w:t xml:space="preserve">开源性能评估基准测试平台: </w:t>
            </w:r>
            <w:r>
              <w:rPr>
                <w:rFonts w:hint="default" w:cs="宋体"/>
                <w:lang w:val="en-US" w:eastAsia="zh-CN"/>
              </w:rPr>
              <w:t>为了客观评估密码实现性能并推动学术界和工业界的技术进步，项目组开发了多个开源软件工具和测试平台。</w:t>
            </w:r>
          </w:p>
          <w:p w14:paraId="7DEB675A">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在IoT处理器优化验证方面，项目组使用了多种实际硬件设备，包括配备STM32L475VET6微控制器的PanDuoLa开发板（80 MHz Cortex-M4）和ESP32-S3-DevKitM-1开发板（240 MHz Xtensa LX7双核）。实验表明，优化后的AES实现相比查找表方案提升22.5%的性能优势，验证了位切片并行处理在相同硬件平台上的有效性。</w:t>
            </w:r>
          </w:p>
          <w:p w14:paraId="2FD6CC7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在GPU并行架构验证方面，项目组在Ubuntu 24.04 LTS系统上使用CUDA 12.5和GCC 13.3.0进行了严格的性能测试。每项测量重复20次并通过中位绝对偏差去除异常值，确保结果的可靠性。线程配置优化实验显示，当超出最优线程分配时性能下降18-23%，验证了自适应分配方法的有效性。</w:t>
            </w:r>
          </w:p>
          <w:p w14:paraId="43C150D6">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17" w:leftChars="0" w:firstLine="420" w:firstLineChars="200"/>
              <w:textAlignment w:val="auto"/>
              <w:rPr>
                <w:rFonts w:hint="default" w:cs="宋体"/>
                <w:lang w:val="en-US" w:eastAsia="zh-CN"/>
              </w:rPr>
            </w:pPr>
            <w:r>
              <w:rPr>
                <w:rFonts w:hint="default" w:cs="宋体"/>
                <w:lang w:val="en-US" w:eastAsia="zh-CN"/>
              </w:rPr>
              <w:t>此外，项目组还建立了标准化的性能评估指标体系，采用每字节周期数（CPB）作为主要性能度量，同时考虑Flash内存使用、代码大小等关键指标，为不同密码实现之间的公平比较提供了统一标准。</w:t>
            </w:r>
          </w:p>
          <w:p w14:paraId="694C9442">
            <w:pPr>
              <w:ind w:left="-28" w:firstLine="420" w:firstLineChars="200"/>
              <w:jc w:val="center"/>
              <w:rPr>
                <w:rFonts w:hint="eastAsia"/>
              </w:rPr>
            </w:pPr>
          </w:p>
          <w:p w14:paraId="61E5B11A">
            <w:pPr>
              <w:numPr>
                <w:ilvl w:val="0"/>
                <w:numId w:val="2"/>
              </w:numPr>
              <w:spacing w:line="360" w:lineRule="exact"/>
              <w:ind w:left="720"/>
            </w:pPr>
            <w:r>
              <w:rPr>
                <w:rFonts w:hint="eastAsia" w:cs="宋体"/>
              </w:rPr>
              <w:t>研究成果的科学意义和应用前景；学术界的反映和引用。</w:t>
            </w:r>
          </w:p>
          <w:p w14:paraId="2066365D">
            <w:pPr>
              <w:snapToGrid w:val="0"/>
              <w:spacing w:line="360" w:lineRule="exact"/>
              <w:ind w:firstLine="420" w:firstLineChars="200"/>
              <w:rPr>
                <w:rFonts w:hint="eastAsia" w:cs="宋体"/>
              </w:rPr>
            </w:pPr>
            <w:r>
              <w:rPr>
                <w:rFonts w:hint="eastAsia" w:cs="宋体"/>
              </w:rPr>
              <w:t>随着5G/6G通信技术的普及和量子计算的快速发展，密码算法在受限环境下的高效实现已成为信息安全领域的核心挑战。本项目的研究成果在理论创新、技术突破和实际应用方面都具有一定的科学意义和应用前景。</w:t>
            </w:r>
          </w:p>
          <w:p w14:paraId="36519DA3">
            <w:pPr>
              <w:snapToGrid w:val="0"/>
              <w:spacing w:line="360" w:lineRule="exact"/>
              <w:ind w:firstLine="420" w:firstLineChars="200"/>
              <w:rPr>
                <w:rFonts w:hint="eastAsia" w:cs="宋体"/>
              </w:rPr>
            </w:pPr>
            <w:r>
              <w:rPr>
                <w:rFonts w:hint="eastAsia" w:cs="宋体"/>
                <w:b/>
                <w:bCs/>
              </w:rPr>
              <w:t>科学意义</w:t>
            </w:r>
            <w:r>
              <w:rPr>
                <w:rFonts w:hint="default" w:cs="宋体"/>
                <w:b/>
                <w:bCs/>
                <w:lang w:val="en-US"/>
              </w:rPr>
              <w:t xml:space="preserve">: </w:t>
            </w:r>
            <w:r>
              <w:rPr>
                <w:rFonts w:hint="eastAsia" w:cs="宋体"/>
              </w:rPr>
              <w:t>本项目在密码学工程领域取得了多项理论和技术突破，横跨密码算法优化、后量子密码学、侧信道分析和深度学习等多个前沿研究方向。</w:t>
            </w:r>
          </w:p>
          <w:p w14:paraId="1772BEF1">
            <w:pPr>
              <w:snapToGrid w:val="0"/>
              <w:spacing w:line="360" w:lineRule="exact"/>
              <w:ind w:firstLine="420" w:firstLineChars="200"/>
              <w:rPr>
                <w:rFonts w:hint="eastAsia" w:cs="宋体"/>
              </w:rPr>
            </w:pPr>
            <w:r>
              <w:rPr>
                <w:rFonts w:hint="eastAsia" w:cs="宋体"/>
              </w:rPr>
              <w:t>在密码算法优化理论方面，置换优化算法（OPO）的提出填补了32位处理器上位切片密码实现优化的理论空白，为受限环境下的密码实现提供了系统性的优化方法论。该算法通过数学建模将置换操作转化为最优化问题，建立了从高级密码描述到低级指令映射的理论桥梁，为密码算法在IoT设备上的部署奠定了坚实的理论基础。</w:t>
            </w:r>
          </w:p>
          <w:p w14:paraId="2809C581">
            <w:pPr>
              <w:snapToGrid w:val="0"/>
              <w:spacing w:line="360" w:lineRule="exact"/>
              <w:ind w:firstLine="420" w:firstLineChars="200"/>
              <w:rPr>
                <w:rFonts w:hint="eastAsia" w:cs="宋体"/>
              </w:rPr>
            </w:pPr>
            <w:r>
              <w:rPr>
                <w:rFonts w:hint="eastAsia" w:cs="宋体"/>
              </w:rPr>
              <w:t>改进的位切片门复杂度（BGC）模型编码方法在密码组件优化领域具有重要的方法论价值。通过引入代数标准形（ANF）框架简化约束函数，该方法不仅将S盒优化的求解效率提升了3.19倍，还为其他密码组件的自动化优化提供了新的技术路径，推动了密码学自动化工具的发展。</w:t>
            </w:r>
          </w:p>
          <w:p w14:paraId="7F671687">
            <w:pPr>
              <w:snapToGrid w:val="0"/>
              <w:spacing w:line="360" w:lineRule="exact"/>
              <w:ind w:firstLine="420" w:firstLineChars="200"/>
              <w:rPr>
                <w:rFonts w:hint="eastAsia" w:cs="宋体"/>
              </w:rPr>
            </w:pPr>
            <w:r>
              <w:rPr>
                <w:rFonts w:hint="eastAsia" w:cs="宋体"/>
              </w:rPr>
              <w:t>在后量子密码学理论方面，本项目提出的线程自适应GPU并行架构为大规模密码计算提供了新的设计范式。自适应线程分配（ATA）方法通过建立精确的执行时间数学模型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eastAsia" w:cs="宋体"/>
              </w:rPr>
              <w:t>，实现了密码操作的最优资源分配，这一创新对于GPU密码学和高性能计算具有重要的理论指导意义。</w:t>
            </w:r>
          </w:p>
          <w:p w14:paraId="3EF0844B">
            <w:pPr>
              <w:snapToGrid w:val="0"/>
              <w:spacing w:line="360" w:lineRule="exact"/>
              <w:ind w:firstLine="420" w:firstLineChars="200"/>
              <w:rPr>
                <w:rFonts w:hint="eastAsia" w:cs="宋体"/>
              </w:rPr>
            </w:pPr>
            <w:r>
              <w:rPr>
                <w:rFonts w:hint="eastAsia" w:cs="宋体"/>
              </w:rPr>
              <w:t>在深度学习侧信道分析领域，本项目首次将核密度估计（KDE）方法引入标签相关性计算，突破了传统方法依赖参数假设的理论局限。提出的样本局部相关性学习（LDL-SCL）方法建立了功耗轨迹间相关性与攻击效果的数学关系，为侧信道分析提供了新的理论框架。</w:t>
            </w:r>
          </w:p>
          <w:p w14:paraId="22A33111">
            <w:pPr>
              <w:snapToGrid w:val="0"/>
              <w:spacing w:line="360" w:lineRule="exact"/>
              <w:ind w:firstLine="420" w:firstLineChars="200"/>
              <w:rPr>
                <w:rFonts w:hint="eastAsia" w:cs="宋体"/>
              </w:rPr>
            </w:pPr>
            <w:r>
              <w:rPr>
                <w:rFonts w:hint="eastAsia" w:cs="宋体"/>
              </w:rPr>
              <w:t>多标签深度学习攻击理论的建立是本项目的另一重要理论贡献。TripM模型通过标签分组的数学证明，建立了密钥空间与泄露空间之间的双射关系，为多目标侧信道攻击提供了严格的理论基础。权重共享架构不仅减少了模型复杂度，还提升了特征提取的泛化能力，为深度学习在密码分析中的应用开辟了新的研究方向。</w:t>
            </w:r>
          </w:p>
          <w:p w14:paraId="346C7E10">
            <w:pPr>
              <w:snapToGrid w:val="0"/>
              <w:spacing w:line="360" w:lineRule="exact"/>
              <w:ind w:firstLine="420" w:firstLineChars="200"/>
              <w:rPr>
                <w:rFonts w:hint="eastAsia" w:cs="宋体"/>
              </w:rPr>
            </w:pPr>
            <w:r>
              <w:rPr>
                <w:rFonts w:hint="eastAsia" w:cs="宋体"/>
              </w:rPr>
              <w:t>项目成果推动了密码学与计算机系统结构、机器学习等交叉领域的发展，特别是在密码算法与硬件平台协同优化、深度学习与密码分析融合方面形成了新的研究范式。建立的标准化基准测试框架为密码实现性能评估提供了客观标准，促进了学术界在该领域的深入研究和技术标准化进程。</w:t>
            </w:r>
          </w:p>
          <w:p w14:paraId="24A62014">
            <w:pPr>
              <w:snapToGrid w:val="0"/>
              <w:spacing w:line="360" w:lineRule="exact"/>
              <w:ind w:firstLine="420" w:firstLineChars="200"/>
              <w:rPr>
                <w:rFonts w:hint="eastAsia" w:cs="宋体"/>
              </w:rPr>
            </w:pPr>
            <w:r>
              <w:rPr>
                <w:rFonts w:hint="eastAsia" w:cs="宋体"/>
                <w:b/>
                <w:bCs/>
              </w:rPr>
              <w:t>应用前景</w:t>
            </w:r>
            <w:r>
              <w:rPr>
                <w:rFonts w:hint="default" w:cs="宋体"/>
                <w:b/>
                <w:bCs/>
                <w:lang w:val="en-US"/>
              </w:rPr>
              <w:t xml:space="preserve">: </w:t>
            </w:r>
            <w:r>
              <w:rPr>
                <w:rFonts w:hint="eastAsia" w:cs="宋体"/>
              </w:rPr>
              <w:t>本项目的研究成果具有广泛的实际应用价值，可直接服务于多个重要的技术领域和应用场景，为信息安全技术的产业化发展提供了重要支撑。</w:t>
            </w:r>
          </w:p>
          <w:p w14:paraId="3E1E12DE">
            <w:pPr>
              <w:snapToGrid w:val="0"/>
              <w:spacing w:line="360" w:lineRule="exact"/>
              <w:ind w:firstLine="420" w:firstLineChars="200"/>
              <w:rPr>
                <w:rFonts w:hint="eastAsia" w:cs="宋体"/>
              </w:rPr>
            </w:pPr>
            <w:r>
              <w:rPr>
                <w:rFonts w:hint="eastAsia" w:cs="宋体"/>
              </w:rPr>
              <w:t>在物联网安全领域，优化后的轻量级密码实现为资源受限的IoT设备提供了高效的安全保障。智能家居、工业物联网、智慧城市等场景中的大量终端设备可以采用本项目的优化方案，在不增加硬件成本的前提下提升安全性能。项目成果已经在ARM Cortex-M系列和ESP32系列微控制器上得到验证，这些处理器广泛应用于各类IoT产品中，覆盖了从消费级到工业级的全线产品。</w:t>
            </w:r>
          </w:p>
          <w:p w14:paraId="64BF869E">
            <w:pPr>
              <w:snapToGrid w:val="0"/>
              <w:spacing w:line="360" w:lineRule="exact"/>
              <w:ind w:firstLine="420" w:firstLineChars="200"/>
              <w:rPr>
                <w:rFonts w:hint="eastAsia" w:cs="宋体"/>
              </w:rPr>
            </w:pPr>
            <w:r>
              <w:rPr>
                <w:rFonts w:hint="eastAsia" w:cs="宋体"/>
              </w:rPr>
              <w:t>在车联网和智能交通领域，本项目的位切片密码优化技术可以直接应用于车载电子控制单元（ECU）的安全通信。随着自动驾驶技术和车路协同的发展，车辆内部、车车通信和车路通信的安全需求日益迫切，项目成果为实时性要求极高的车联网应用提供了可靠的密码学支撑，确保行车安全和数据隐私。</w:t>
            </w:r>
          </w:p>
          <w:p w14:paraId="37F65B16">
            <w:pPr>
              <w:snapToGrid w:val="0"/>
              <w:spacing w:line="360" w:lineRule="exact"/>
              <w:ind w:firstLine="420" w:firstLineChars="200"/>
              <w:rPr>
                <w:rFonts w:hint="eastAsia" w:cs="宋体"/>
              </w:rPr>
            </w:pPr>
            <w:r>
              <w:rPr>
                <w:rFonts w:hint="eastAsia" w:cs="宋体"/>
              </w:rPr>
              <w:t>在后量子密码的产业化部署方面，GPU并行加速方案为云计算、数据中心等大规模应用场景提供了高效的解决方案。随着NIST后量子密码标准的正式发布，项目成果可以直接应用于PKI系统升级、区块链平台迁移、金融交易系统改造等关键应用，帮助组织平滑过渡到后量子密码时代。特别是在高频交易、实时支付等对性能要求极高的金融场景中，GPU加速方案具有重要的商业价值。</w:t>
            </w:r>
          </w:p>
          <w:p w14:paraId="0D25F825">
            <w:pPr>
              <w:snapToGrid w:val="0"/>
              <w:spacing w:line="360" w:lineRule="exact"/>
              <w:ind w:firstLine="420" w:firstLineChars="200"/>
              <w:rPr>
                <w:rFonts w:hint="eastAsia" w:cs="宋体"/>
              </w:rPr>
            </w:pPr>
            <w:r>
              <w:rPr>
                <w:rFonts w:hint="eastAsia" w:cs="宋体"/>
              </w:rPr>
              <w:t>在网络安全和密码分析领域，本项目提出的深度学习侧信道分析技术为密码产品的安全评估提供了新的技术手段。基于KDE的标签相关性优化方法和TripM多字节攻击模型可以直接应用于密码芯片的安全性测试、智能卡的漏洞评估、加密软件的抗攻击能力验证等实际场景。这些技术将帮助密码产品制造商发现潜在的安全隐患，提升产品的安全性水平。</w:t>
            </w:r>
          </w:p>
          <w:p w14:paraId="2B420A56">
            <w:pPr>
              <w:snapToGrid w:val="0"/>
              <w:spacing w:line="360" w:lineRule="exact"/>
              <w:ind w:firstLine="420" w:firstLineChars="200"/>
              <w:rPr>
                <w:rFonts w:hint="eastAsia" w:cs="宋体"/>
              </w:rPr>
            </w:pPr>
            <w:r>
              <w:rPr>
                <w:rFonts w:hint="eastAsia" w:cs="宋体"/>
              </w:rPr>
              <w:t>在教育培训和人才培养方面，项目开发的开源基准测试平台和技术工具为密码学教育提供了丰富的实践资源。高等院校可以利用这些工具开展密码学实验课程，培养学生的实际动手能力；企业可以使用这些平台进行员工技术培训，提升团队的密码学工程能力。</w:t>
            </w:r>
          </w:p>
          <w:p w14:paraId="5C547928">
            <w:pPr>
              <w:snapToGrid w:val="0"/>
              <w:spacing w:line="360" w:lineRule="exact"/>
              <w:ind w:firstLine="420" w:firstLineChars="200"/>
              <w:rPr>
                <w:rFonts w:hint="eastAsia" w:cs="宋体"/>
              </w:rPr>
            </w:pPr>
            <w:r>
              <w:rPr>
                <w:rFonts w:hint="eastAsia" w:cs="宋体"/>
              </w:rPr>
              <w:t>项目成果在标准化组织中也具有重要的推广价值。相关的优化技术和评估方法可以为国际标准化组织（如ISO/IEC、IEEE等）制定密码实现标准提供技术参考，推动密码学工程领域的标准化进程。已经在GitHub上获得研究者和工业界的广泛关注，为全球密码学技术的发展和产业化应用提供了重要的技术支撑。</w:t>
            </w:r>
          </w:p>
          <w:p w14:paraId="51769BA4">
            <w:pPr>
              <w:snapToGrid w:val="0"/>
              <w:spacing w:line="360" w:lineRule="exact"/>
              <w:ind w:firstLine="420" w:firstLineChars="200"/>
              <w:rPr>
                <w:rFonts w:hint="eastAsia" w:cs="宋体"/>
              </w:rPr>
            </w:pPr>
            <w:r>
              <w:rPr>
                <w:rFonts w:hint="eastAsia" w:cs="宋体"/>
                <w:b/>
                <w:bCs/>
              </w:rPr>
              <w:t>学术界反映和引用</w:t>
            </w:r>
            <w:r>
              <w:rPr>
                <w:rFonts w:hint="default" w:cs="宋体"/>
                <w:b/>
                <w:bCs/>
                <w:lang w:val="en-US"/>
              </w:rPr>
              <w:t xml:space="preserve">: </w:t>
            </w:r>
            <w:r>
              <w:rPr>
                <w:rFonts w:hint="eastAsia" w:cs="宋体"/>
              </w:rPr>
              <w:t>本项目产生的研究成果已形成多篇高质量学术论文，在国际期刊发表和审稿中展现了良好的学术影响力。</w:t>
            </w:r>
          </w:p>
          <w:p w14:paraId="6585A1BC">
            <w:pPr>
              <w:snapToGrid w:val="0"/>
              <w:spacing w:line="360" w:lineRule="exact"/>
              <w:ind w:firstLine="420" w:firstLineChars="200"/>
              <w:rPr>
                <w:rFonts w:hint="eastAsia" w:cs="宋体"/>
              </w:rPr>
            </w:pPr>
            <w:r>
              <w:rPr>
                <w:rFonts w:hint="eastAsia" w:cs="宋体"/>
              </w:rPr>
              <w:t>项目组已发表论文《Efficient implementations of CRAFT cipher for Internet of Things》于Computers and Electrical Engineering期刊（2024年），该论文首次提出了CRAFT密码算法在IoT处理器上的高效实现方案，为轻量级密码在物联网设备中的应用提供了重要参考。</w:t>
            </w:r>
          </w:p>
          <w:p w14:paraId="29B1590F">
            <w:pPr>
              <w:snapToGrid w:val="0"/>
              <w:spacing w:line="360" w:lineRule="exact"/>
              <w:ind w:firstLine="420" w:firstLineChars="200"/>
              <w:rPr>
                <w:rFonts w:hint="eastAsia" w:cs="宋体"/>
              </w:rPr>
            </w:pPr>
            <w:r>
              <w:rPr>
                <w:rFonts w:hint="eastAsia" w:cs="宋体"/>
              </w:rPr>
              <w:t>项目组合作发表的论文《Optimizing label correlation in deep learning-based side-channel analysis》已在Microelectronics Journal期刊（2025年）发表，该研究将核密度估计（KDE）方法引入深度学习侧信道分析领域，提出的标签分布学习方法显著减少了攻击所需的训练样本数量，为项目在侧信道分析方向的研究提供了重要技术支撑。</w:t>
            </w:r>
          </w:p>
          <w:p w14:paraId="08466BA4">
            <w:pPr>
              <w:snapToGrid w:val="0"/>
              <w:spacing w:line="360" w:lineRule="exact"/>
              <w:ind w:firstLine="420" w:firstLineChars="200"/>
              <w:rPr>
                <w:rFonts w:hint="eastAsia" w:cs="宋体"/>
              </w:rPr>
            </w:pPr>
            <w:r>
              <w:rPr>
                <w:rFonts w:hint="eastAsia" w:cs="宋体"/>
              </w:rPr>
              <w:t>项目组合作发表的论文《Tripm: a multi‑label deep learning SCA model for multi‑byte attacks》已在International Journal of Machine Learning and Cybernetics期刊（2025年）发表，该研究提出了多字节并行密钥恢复的TripM模型，通过标签分组和权重共享技术实现了单次训练恢复多个密钥字节，将全轮攻击时间减少了28.7%，为项目在多目标密码分析方面提供了技术参考。</w:t>
            </w:r>
          </w:p>
          <w:p w14:paraId="73A42AF1">
            <w:pPr>
              <w:snapToGrid w:val="0"/>
              <w:spacing w:line="360" w:lineRule="exact"/>
              <w:ind w:firstLine="420" w:firstLineChars="200"/>
              <w:rPr>
                <w:rFonts w:hint="eastAsia" w:cs="宋体"/>
              </w:rPr>
            </w:pPr>
            <w:r>
              <w:rPr>
                <w:rFonts w:hint="eastAsia" w:cs="宋体"/>
              </w:rPr>
              <w:t>项目组另有两篇核心论文正在审稿中：《Low-Latency Implementation of Bitsliced SPN-Cipher on IoT Processors》（IEEE Transactions on Computers，CCF-A类期刊，R2修订阶段）和《Thread-Adaptive: High-Throughput Parallel Architectures of SLH-DSA on GPUs》（IEEE Computer Architecture Letters，R1修订阶段）。这些论文在IoT密码优化和后量子密码GPU加速方面的技术贡献得到了国际同行的认可。</w:t>
            </w:r>
          </w:p>
          <w:p w14:paraId="562B48DA">
            <w:pPr>
              <w:snapToGrid w:val="0"/>
              <w:spacing w:line="360" w:lineRule="exact"/>
              <w:ind w:firstLine="420" w:firstLineChars="200"/>
              <w:rPr>
                <w:rFonts w:cs="宋体"/>
              </w:rPr>
            </w:pPr>
            <w:r>
              <w:rPr>
                <w:rFonts w:hint="eastAsia" w:cs="宋体"/>
              </w:rPr>
              <w:t>项目组积极参与国际学术交流，通过会议交流、同行评议等方式促进研究成果的传播。开源代码和工具的发布进一步扩大了项目成果的影响力，为全球密码学研究社区提供了宝贵的研究资源。五篇高质量论文的发表和审稿体现了项目研究的学术价值和创新性。</w:t>
            </w:r>
          </w:p>
          <w:p w14:paraId="24EF918A">
            <w:pPr>
              <w:spacing w:line="360" w:lineRule="exact"/>
              <w:rPr>
                <w:rFonts w:hint="eastAsia"/>
              </w:rPr>
            </w:pPr>
          </w:p>
          <w:p w14:paraId="7B9FB910">
            <w:pPr>
              <w:numPr>
                <w:ilvl w:val="0"/>
                <w:numId w:val="2"/>
              </w:numPr>
              <w:spacing w:line="360" w:lineRule="exact"/>
              <w:ind w:left="720"/>
            </w:pPr>
            <w:r>
              <w:rPr>
                <w:rFonts w:hint="eastAsia" w:cs="宋体"/>
              </w:rPr>
              <w:t>与申请书的预期研究进展和成果比较，存在哪些问题，说明原因。</w:t>
            </w:r>
          </w:p>
          <w:p w14:paraId="56BD55B4">
            <w:pPr>
              <w:spacing w:line="360" w:lineRule="exact"/>
              <w:ind w:firstLine="420" w:firstLineChars="200"/>
            </w:pPr>
            <w:r>
              <w:rPr>
                <w:rFonts w:hint="eastAsia"/>
              </w:rPr>
              <w:t>本项目是20</w:t>
            </w:r>
            <w:r>
              <w:t>2</w:t>
            </w:r>
            <w:r>
              <w:rPr>
                <w:rFonts w:hint="default"/>
                <w:lang w:val="en-US"/>
              </w:rPr>
              <w:t>4</w:t>
            </w:r>
            <w:r>
              <w:rPr>
                <w:rFonts w:hint="eastAsia"/>
              </w:rPr>
              <w:t>年</w:t>
            </w:r>
            <w:r>
              <w:rPr>
                <w:rFonts w:hint="default"/>
                <w:lang w:val="en-US"/>
              </w:rPr>
              <w:t>9</w:t>
            </w:r>
            <w:r>
              <w:rPr>
                <w:rFonts w:hint="eastAsia"/>
              </w:rPr>
              <w:t>月经湖南省教育厅批准立项的研究生科技创新项目。根据批准的项目申请书，项目成员按计划完成了项目研究，研究成果符合预期。</w:t>
            </w:r>
          </w:p>
          <w:p w14:paraId="18523FA2">
            <w:pPr>
              <w:spacing w:line="360" w:lineRule="exact"/>
              <w:ind w:firstLine="420" w:firstLineChars="200"/>
              <w:rPr>
                <w:rFonts w:hint="eastAsia"/>
              </w:rPr>
            </w:pPr>
          </w:p>
          <w:p w14:paraId="509BBF42">
            <w:pPr>
              <w:numPr>
                <w:ilvl w:val="0"/>
                <w:numId w:val="2"/>
              </w:numPr>
              <w:spacing w:line="360" w:lineRule="exact"/>
              <w:ind w:left="720"/>
              <w:rPr>
                <w:rFonts w:cs="宋体"/>
              </w:rPr>
            </w:pPr>
            <w:r>
              <w:rPr>
                <w:rFonts w:hint="eastAsia" w:cs="宋体"/>
              </w:rPr>
              <w:t>与项目负责人的学位论文有关的研究工作及成果。</w:t>
            </w:r>
          </w:p>
          <w:p w14:paraId="77E58C7B">
            <w:pPr>
              <w:snapToGrid w:val="0"/>
              <w:spacing w:line="360" w:lineRule="exact"/>
              <w:ind w:firstLine="420" w:firstLineChars="200"/>
              <w:rPr>
                <w:rFonts w:hint="eastAsia" w:cs="宋体"/>
              </w:rPr>
            </w:pPr>
            <w:r>
              <w:rPr>
                <w:rFonts w:hint="eastAsia" w:cs="宋体"/>
              </w:rPr>
              <w:t>项目负责人为研究生二年级学生，于2</w:t>
            </w:r>
            <w:r>
              <w:rPr>
                <w:rFonts w:cs="宋体"/>
              </w:rPr>
              <w:t>02</w:t>
            </w:r>
            <w:r>
              <w:rPr>
                <w:rFonts w:hint="default" w:cs="宋体"/>
                <w:lang w:val="en-US"/>
              </w:rPr>
              <w:t>4</w:t>
            </w:r>
            <w:r>
              <w:rPr>
                <w:rFonts w:hint="eastAsia" w:cs="宋体"/>
              </w:rPr>
              <w:t>年11月进行了硕士学位论文开题报告，学位论文选题是在已有的密码算法高效实现与优化技术研究上拓展研究的课题。论文围绕密码算法在受限环境下的实现优化展开深入研究，主要包括IoT处理器位切片密码优化、GPU后量子密码并行架构设计和跨平台性能评估方法三个核心方向。</w:t>
            </w:r>
          </w:p>
          <w:p w14:paraId="3F5BE0EA">
            <w:pPr>
              <w:snapToGrid w:val="0"/>
              <w:spacing w:line="360" w:lineRule="exact"/>
              <w:ind w:firstLine="420" w:firstLineChars="200"/>
              <w:rPr>
                <w:rFonts w:hint="eastAsia" w:cs="宋体"/>
              </w:rPr>
            </w:pPr>
            <w:r>
              <w:rPr>
                <w:rFonts w:hint="eastAsia" w:cs="宋体"/>
              </w:rPr>
              <w:t>在IoT处理器优化方面，项目负责人提出了置换优化算法（OPO）和改进的位切片门复杂度（BGC）模型编码方法。OPO算法通过数学建模将置换操作转化为最优化问题，以QARMAv2密码为例实现了64.3%的指令数量减少；改进的BGC模型在7种不同密码的S盒优化中实现了平均3.19倍的加速比。</w:t>
            </w:r>
          </w:p>
          <w:p w14:paraId="1C2FAC0A">
            <w:pPr>
              <w:snapToGrid w:val="0"/>
              <w:spacing w:line="360" w:lineRule="exact"/>
              <w:ind w:firstLine="420" w:firstLineChars="200"/>
              <w:rPr>
                <w:rFonts w:hint="eastAsia" w:cs="宋体"/>
              </w:rPr>
            </w:pPr>
            <w:r>
              <w:rPr>
                <w:rFonts w:hint="eastAsia" w:cs="宋体"/>
              </w:rPr>
              <w:t>在GPU并行架构方面，针对FIPS 205标准的SLH-DSA算法，建立了精确的执行时间模型</w:t>
            </w:r>
            <m:oMath>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g</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α</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t</m:t>
              </m:r>
            </m:oMath>
            <w:r>
              <w:rPr>
                <w:rFonts w:hint="eastAsia" w:cs="宋体"/>
              </w:rPr>
              <w:t>，导出优化的线程分配公式</w:t>
            </w:r>
            <m:oMath>
              <m:sSubSup>
                <m:sSubSupPr>
                  <m:ctrlPr>
                    <w:rPr>
                      <w:rFonts w:hint="default" w:ascii="DejaVu Math TeX Gyre" w:hAnsi="DejaVu Math TeX Gyre"/>
                      <w:sz w:val="21"/>
                    </w:rPr>
                  </m:ctrlPr>
                </m:sSubSupPr>
                <m:e>
                  <m:r>
                    <m:rPr/>
                    <w:rPr>
                      <w:rFonts w:hint="default" w:ascii="DejaVu Math TeX Gyre" w:hAnsi="DejaVu Math TeX Gyre"/>
                      <w:sz w:val="21"/>
                    </w:rPr>
                    <m:t>t</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up>
                  <m:r>
                    <m:rPr/>
                    <w:rPr>
                      <w:rFonts w:hint="default" w:ascii="DejaVu Math TeX Gyre" w:hAnsi="DejaVu Math TeX Gyre"/>
                      <w:sz w:val="21"/>
                    </w:rPr>
                    <m:t>∗</m:t>
                  </m:r>
                  <m:ctrlPr>
                    <w:rPr>
                      <w:rFonts w:ascii="DejaVu Math TeX Gyre" w:hAnsi="DejaVu Math TeX Gyre"/>
                      <w:sz w:val="21"/>
                    </w:rPr>
                  </m:ctrlPr>
                </m:sup>
              </m:sSubSup>
              <m:r>
                <m:rPr/>
                <w:rPr>
                  <w:rFonts w:hint="default" w:ascii="DejaVu Math TeX Gyre" w:hAnsi="DejaVu Math TeX Gyre"/>
                  <w:sz w:val="21"/>
                </w:rPr>
                <m:t>=sqrt(</m:t>
              </m:r>
              <m:sSub>
                <m:sSubPr>
                  <m:ctrlPr>
                    <w:rPr>
                      <w:rFonts w:hint="default" w:ascii="DejaVu Math TeX Gyre" w:hAnsi="DejaVu Math TeX Gyre"/>
                      <w:sz w:val="21"/>
                    </w:rPr>
                  </m:ctrlPr>
                </m:sSubPr>
                <m:e>
                  <m:r>
                    <m:rPr/>
                    <w:rPr>
                      <w:rFonts w:hint="default" w:ascii="DejaVu Math TeX Gyre" w:hAnsi="DejaVu Math TeX Gyre"/>
                      <w:sz w:val="21"/>
                    </w:rPr>
                    <m:t>β</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sSub>
                <m:sSubPr>
                  <m:ctrlPr>
                    <w:rPr>
                      <w:rFonts w:hint="default" w:ascii="DejaVu Math TeX Gyre" w:hAnsi="DejaVu Math TeX Gyre"/>
                      <w:sz w:val="21"/>
                    </w:rPr>
                  </m:ctrlPr>
                </m:sSubPr>
                <m:e>
                  <m:r>
                    <m:rPr/>
                    <w:rPr>
                      <w:rFonts w:hint="default" w:ascii="DejaVu Math TeX Gyre" w:hAnsi="DejaVu Math TeX Gyre"/>
                      <w:sz w:val="21"/>
                    </w:rPr>
                    <m:t>γ</m:t>
                  </m:r>
                  <m:ctrlPr>
                    <w:rPr>
                      <w:rFonts w:ascii="DejaVu Math TeX Gyre" w:hAnsi="DejaVu Math TeX Gyre"/>
                      <w:sz w:val="21"/>
                    </w:rPr>
                  </m:ctrlPr>
                </m:e>
                <m:sub>
                  <m:r>
                    <m:rPr/>
                    <w:rPr>
                      <w:rFonts w:hint="default" w:ascii="DejaVu Math TeX Gyre" w:hAnsi="DejaVu Math TeX Gyre"/>
                      <w:sz w:val="21"/>
                    </w:rPr>
                    <m:t>i</m:t>
                  </m:r>
                  <m:ctrlPr>
                    <w:rPr>
                      <w:rFonts w:ascii="DejaVu Math TeX Gyre" w:hAnsi="DejaVu Math TeX Gyre"/>
                      <w:sz w:val="21"/>
                    </w:rPr>
                  </m:ctrlPr>
                </m:sub>
              </m:sSub>
              <m:r>
                <m:rPr/>
                <w:rPr>
                  <w:rFonts w:hint="default" w:ascii="DejaVu Math TeX Gyre" w:hAnsi="DejaVu Math TeX Gyre"/>
                  <w:sz w:val="21"/>
                </w:rPr>
                <m:t>)</m:t>
              </m:r>
            </m:oMath>
            <w:r>
              <w:rPr>
                <w:rFonts w:hint="eastAsia" w:cs="宋体"/>
              </w:rPr>
              <w:t>，提出了自适应线程分配（ATA）和函数级并行（FLP）技术。在NVIDIA RTX 4090上实现了62,239签名/秒的吞吐量，相比已有方案提升16%。</w:t>
            </w:r>
          </w:p>
          <w:p w14:paraId="1D6E7B1D">
            <w:pPr>
              <w:snapToGrid w:val="0"/>
              <w:spacing w:line="360" w:lineRule="exact"/>
              <w:ind w:firstLine="420" w:firstLineChars="200"/>
              <w:rPr>
                <w:rFonts w:hint="eastAsia" w:cs="宋体"/>
              </w:rPr>
            </w:pPr>
            <w:r>
              <w:rPr>
                <w:rFonts w:hint="eastAsia" w:cs="宋体"/>
              </w:rPr>
              <w:t>在性能评估方面，开发了轻量级密码基准测试（LCB）框架，支持ARM Cortex-M、ESP32等主流IoT处理器平台，提供CPB、内存使用、代码大小等全面性能评估，为学术界和工业界提供了评估工具。</w:t>
            </w:r>
          </w:p>
          <w:p w14:paraId="7BA7AEBF">
            <w:pPr>
              <w:snapToGrid w:val="0"/>
              <w:spacing w:line="360" w:lineRule="exact"/>
              <w:ind w:firstLine="420" w:firstLineChars="200"/>
              <w:rPr>
                <w:rFonts w:hint="eastAsia" w:cs="宋体"/>
              </w:rPr>
            </w:pPr>
            <w:r>
              <w:rPr>
                <w:rFonts w:hint="eastAsia" w:cs="宋体"/>
              </w:rPr>
              <w:t>基于学位论文研究，项目负责人已发表论文《Efficient implementations of CRAFT cipher for Internet of Things》于Computers and Electrical Engineering期刊（中科院三区），另有《Low-Latency Implementation of Bitsliced SPN-Cipher on IoT Processors》（IEEE Transactions on Computers，CCF-A，二审阶段）和《Thread-Adaptive: High-Throughput Parallel Architectures of SLH-DSA on GPUs》（IEEE Computer Architecture Letters，一审阶段）两篇核心论文在审。同时积极开源S盒优化工具、基准测试框架和GPU实现代码，为密码学研究社区提供开发资源。</w:t>
            </w:r>
          </w:p>
          <w:p w14:paraId="30D48BCA">
            <w:pPr>
              <w:keepNext w:val="0"/>
              <w:keepLines w:val="0"/>
              <w:pageBreakBefore w:val="0"/>
              <w:widowControl w:val="0"/>
              <w:kinsoku/>
              <w:wordWrap/>
              <w:overflowPunct/>
              <w:topLinePunct w:val="0"/>
              <w:autoSpaceDE/>
              <w:autoSpaceDN/>
              <w:bidi w:val="0"/>
              <w:adjustRightInd/>
              <w:snapToGrid w:val="0"/>
              <w:spacing w:line="360" w:lineRule="exact"/>
              <w:ind w:firstLine="420" w:firstLineChars="200"/>
              <w:textAlignment w:val="auto"/>
              <w:rPr>
                <w:rFonts w:cs="宋体"/>
              </w:rPr>
            </w:pPr>
          </w:p>
          <w:p w14:paraId="174BF188">
            <w:pPr>
              <w:snapToGrid w:val="0"/>
              <w:spacing w:line="440" w:lineRule="exact"/>
              <w:ind w:firstLine="420" w:firstLineChars="200"/>
              <w:rPr>
                <w:rFonts w:hint="eastAsia" w:cs="宋体"/>
              </w:rPr>
            </w:pPr>
          </w:p>
          <w:p w14:paraId="659DD9B8">
            <w:pPr>
              <w:numPr>
                <w:ilvl w:val="0"/>
                <w:numId w:val="2"/>
              </w:numPr>
              <w:spacing w:line="360" w:lineRule="atLeast"/>
              <w:ind w:left="720"/>
              <w:rPr>
                <w:rFonts w:hint="default" w:cs="宋体"/>
              </w:rPr>
            </w:pPr>
            <w:r>
              <w:rPr>
                <w:rFonts w:hint="eastAsia" w:cs="宋体"/>
              </w:rPr>
              <w:t>经费使用情况。</w:t>
            </w:r>
          </w:p>
          <w:p w14:paraId="47C46E0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1）</w:t>
            </w:r>
            <w:r>
              <w:rPr>
                <w:rFonts w:hint="default" w:cs="宋体"/>
              </w:rPr>
              <w:t>硬件设备与实验耗材费用 4,000元</w:t>
            </w:r>
          </w:p>
          <w:p w14:paraId="495622DD">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本部分经费主要用于购买项目研究所需的硬件开发设备和实验耗材。具体包括：</w:t>
            </w:r>
          </w:p>
          <w:p w14:paraId="32EABB85">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开发板采购：购买ARM Cortex-M4开发板、ESP32-S3开发板等多种IoT处理器平台，用于密码算法优化实现的验证测试。这些开发板为项目的跨平台性能评估提供了必要的硬件基础。</w:t>
            </w:r>
          </w:p>
          <w:p w14:paraId="01E8E052">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GPU计算资源：租用NVIDIA RTX 4090 GPU计算资源，用于后量子密码SLH-DSA算法的并行架构实验。由于GPU设备成本较高，采用云端计算资源租用的方式既保证了研究需要，又控制了经费支出。</w:t>
            </w:r>
          </w:p>
          <w:p w14:paraId="50B591F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实验耗材：购买各类电子元器件、连接线、存储设备等实验必需品，以及研究资料的打印、复印和装订费用。</w:t>
            </w:r>
          </w:p>
          <w:p w14:paraId="64E5019C">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测试设备：购买性能测试仪器、示波器等精密测量设备，用于验证密码算法实现的准确性和性能指标。</w:t>
            </w:r>
          </w:p>
          <w:p w14:paraId="6C8EC200">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2）</w:t>
            </w:r>
            <w:r>
              <w:rPr>
                <w:rFonts w:hint="default" w:cs="宋体"/>
                <w:lang w:val="en-US" w:eastAsia="zh-CN"/>
              </w:rPr>
              <w:t>学术交流与差旅费用 3,500元</w:t>
            </w:r>
          </w:p>
          <w:p w14:paraId="1A18E189">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本部分经费用于参加国内外学术会议和研究交流活动，促进项目成果的传播和学术合作。</w:t>
            </w:r>
          </w:p>
          <w:p w14:paraId="07AE7192">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学术会议参与：资助项目组成员参加密码学、计算机系统结构等相关领域的重要学术会议，包括会议注册费、交通费和住宿费。通过会议交流，项目组及时了解了国际前沿研究动态，获得了同行专家的反馈建议。</w:t>
            </w:r>
          </w:p>
          <w:p w14:paraId="57F7E8DF">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研究调研：支持项目组前往相关高校和科研院所进行学术调研，与同行研究者进行深度交流讨论，拓展研究思路和合作机会。</w:t>
            </w:r>
          </w:p>
          <w:p w14:paraId="31D4EE3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在线学术活动：参加线上学术研讨会、技术培训等活动的费用，特别是GPU并行计算和后量子密码学相关的专业培训。</w:t>
            </w:r>
          </w:p>
          <w:p w14:paraId="2CE12A8F">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s="宋体"/>
              </w:rPr>
            </w:pPr>
            <w:r>
              <w:rPr>
                <w:rFonts w:hint="eastAsia" w:cs="宋体"/>
                <w:lang w:val="en-US" w:eastAsia="zh-CN"/>
              </w:rPr>
              <w:t>3）</w:t>
            </w:r>
            <w:r>
              <w:rPr>
                <w:rFonts w:hint="default" w:cs="宋体"/>
                <w:lang w:val="en-US" w:eastAsia="zh-CN"/>
              </w:rPr>
              <w:t>论文发表与成果传播费用 2,500元</w:t>
            </w:r>
          </w:p>
          <w:p w14:paraId="5E55663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本部分经费用于高水平学术论文的发表和研究成果的广泛传播。</w:t>
            </w:r>
          </w:p>
          <w:p w14:paraId="437F8717">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default" w:cs="宋体"/>
              </w:rPr>
            </w:pPr>
            <w:r>
              <w:rPr>
                <w:rFonts w:hint="default" w:cs="宋体"/>
              </w:rPr>
              <w:t>期刊发表费：支付学术论文在国际期刊发表的版面费、审稿费等。项目组的研究成果面向国际顶级期刊投稿，发表费用相对较高但有助于提升成果的国际影响力。</w:t>
            </w:r>
          </w:p>
          <w:p w14:paraId="106EFDAE">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360" w:leftChars="0" w:firstLine="420" w:firstLineChars="200"/>
              <w:textAlignment w:val="auto"/>
              <w:rPr>
                <w:rFonts w:hint="eastAsia" w:cs="宋体"/>
              </w:rPr>
            </w:pPr>
            <w:r>
              <w:rPr>
                <w:rFonts w:hint="default" w:cs="宋体"/>
              </w:rPr>
              <w:t>开源项目维护：维护GitHub上的开源代码仓库，包括代码托管、文档编写、社区维护等相关费用。开源项目的持续维护有助于扩大研究成果的影响范围。</w:t>
            </w:r>
          </w:p>
          <w:p w14:paraId="484DA646">
            <w:pPr>
              <w:spacing w:line="360" w:lineRule="atLeast"/>
              <w:rPr>
                <w:rFonts w:hint="eastAsia" w:cs="宋体"/>
              </w:rPr>
            </w:pPr>
          </w:p>
          <w:p w14:paraId="02749B7D">
            <w:pPr>
              <w:spacing w:line="360" w:lineRule="atLeast"/>
              <w:rPr>
                <w:rFonts w:hint="eastAsia" w:cs="宋体"/>
              </w:rPr>
            </w:pPr>
          </w:p>
          <w:p w14:paraId="4E726ACE">
            <w:pPr>
              <w:spacing w:line="360" w:lineRule="atLeast"/>
              <w:rPr>
                <w:rFonts w:hint="eastAsia" w:cs="宋体"/>
              </w:rPr>
            </w:pPr>
          </w:p>
          <w:p w14:paraId="35D722F8">
            <w:pPr>
              <w:spacing w:line="360" w:lineRule="atLeast"/>
              <w:rPr>
                <w:rFonts w:hint="eastAsia" w:cs="宋体"/>
              </w:rPr>
            </w:pPr>
          </w:p>
          <w:p w14:paraId="2694470C">
            <w:pPr>
              <w:spacing w:line="360" w:lineRule="atLeast"/>
              <w:rPr>
                <w:rFonts w:hint="eastAsia" w:cs="宋体"/>
              </w:rPr>
            </w:pPr>
          </w:p>
          <w:p w14:paraId="608779D8">
            <w:pPr>
              <w:spacing w:line="360" w:lineRule="atLeast"/>
              <w:rPr>
                <w:rFonts w:hint="eastAsia" w:cs="宋体"/>
              </w:rPr>
            </w:pPr>
          </w:p>
          <w:p w14:paraId="6D9DBD56">
            <w:pPr>
              <w:spacing w:line="360" w:lineRule="atLeast"/>
              <w:rPr>
                <w:rFonts w:hint="eastAsia" w:cs="宋体"/>
              </w:rPr>
            </w:pPr>
          </w:p>
          <w:p w14:paraId="6E64D9FB">
            <w:pPr>
              <w:spacing w:line="360" w:lineRule="atLeast"/>
              <w:rPr>
                <w:rFonts w:hint="eastAsia" w:cs="宋体"/>
              </w:rPr>
            </w:pPr>
          </w:p>
          <w:p w14:paraId="27075A12">
            <w:pPr>
              <w:spacing w:line="360" w:lineRule="atLeast"/>
              <w:rPr>
                <w:rFonts w:hint="eastAsia" w:cs="宋体"/>
              </w:rPr>
            </w:pPr>
          </w:p>
          <w:p w14:paraId="1B0C791E">
            <w:pPr>
              <w:spacing w:line="360" w:lineRule="atLeast"/>
              <w:rPr>
                <w:rFonts w:hint="eastAsia" w:cs="宋体"/>
              </w:rPr>
            </w:pPr>
          </w:p>
          <w:p w14:paraId="6448E42F">
            <w:pPr>
              <w:spacing w:line="360" w:lineRule="atLeast"/>
              <w:rPr>
                <w:rFonts w:hint="eastAsia" w:cs="宋体"/>
              </w:rPr>
            </w:pPr>
          </w:p>
          <w:p w14:paraId="3FB023DD">
            <w:pPr>
              <w:spacing w:line="360" w:lineRule="atLeast"/>
              <w:rPr>
                <w:rFonts w:cs="宋体"/>
              </w:rPr>
            </w:pPr>
          </w:p>
          <w:p w14:paraId="3A7954C6">
            <w:pPr>
              <w:spacing w:line="360" w:lineRule="atLeast"/>
              <w:rPr>
                <w:rFonts w:hint="eastAsia" w:cs="宋体"/>
              </w:rPr>
            </w:pPr>
          </w:p>
          <w:p w14:paraId="0F32F43D">
            <w:pPr>
              <w:spacing w:line="360" w:lineRule="atLeast"/>
              <w:rPr>
                <w:rFonts w:hint="eastAsia" w:cs="宋体"/>
              </w:rPr>
            </w:pPr>
          </w:p>
          <w:p w14:paraId="3F95A552">
            <w:pPr>
              <w:spacing w:line="360" w:lineRule="auto"/>
              <w:ind w:right="600" w:firstLine="4900" w:firstLineChars="2450"/>
              <w:rPr>
                <w:rFonts w:hint="eastAsia" w:cs="宋体"/>
                <w:sz w:val="20"/>
                <w:szCs w:val="20"/>
              </w:rPr>
            </w:pPr>
          </w:p>
          <w:p w14:paraId="5DA6327D">
            <w:pPr>
              <w:spacing w:line="360" w:lineRule="auto"/>
              <w:ind w:right="600" w:firstLine="5700" w:firstLineChars="2850"/>
              <w:rPr>
                <w:sz w:val="20"/>
                <w:szCs w:val="20"/>
              </w:rPr>
            </w:pPr>
            <w:r>
              <w:rPr>
                <w:rFonts w:hint="eastAsia" w:cs="宋体"/>
                <w:sz w:val="20"/>
                <w:szCs w:val="20"/>
              </w:rPr>
              <w:t>项目负责人（签章）：</w:t>
            </w:r>
            <w:r>
              <w:rPr>
                <w:sz w:val="20"/>
                <w:szCs w:val="20"/>
              </w:rPr>
              <w:t xml:space="preserve">              </w:t>
            </w:r>
          </w:p>
          <w:p w14:paraId="366CE6C1">
            <w:pPr>
              <w:spacing w:line="360" w:lineRule="auto"/>
              <w:rPr>
                <w:rFonts w:hint="eastAsia"/>
                <w:sz w:val="20"/>
                <w:szCs w:val="20"/>
              </w:rPr>
            </w:pPr>
            <w:r>
              <w:rPr>
                <w:sz w:val="20"/>
                <w:szCs w:val="20"/>
              </w:rPr>
              <w:t xml:space="preserve">                                                                </w:t>
            </w:r>
          </w:p>
          <w:p w14:paraId="3CD2CAD5">
            <w:pPr>
              <w:spacing w:line="360" w:lineRule="auto"/>
              <w:ind w:firstLine="5700" w:firstLineChars="2850"/>
              <w:rPr>
                <w:rFonts w:cs="宋体"/>
                <w:sz w:val="20"/>
                <w:szCs w:val="20"/>
              </w:rPr>
            </w:pPr>
            <w:r>
              <w:rPr>
                <w:sz w:val="20"/>
                <w:szCs w:val="20"/>
              </w:rPr>
              <w:t xml:space="preserve"> </w:t>
            </w:r>
            <w:r>
              <w:rPr>
                <w:rFonts w:hint="eastAsia"/>
                <w:sz w:val="20"/>
                <w:szCs w:val="20"/>
              </w:rPr>
              <w:t xml:space="preserve">    </w:t>
            </w:r>
            <w:r>
              <w:rPr>
                <w:sz w:val="20"/>
                <w:szCs w:val="20"/>
              </w:rPr>
              <w:t xml:space="preserve">  </w:t>
            </w:r>
            <w:r>
              <w:rPr>
                <w:rFonts w:hint="eastAsia" w:cs="宋体"/>
                <w:sz w:val="20"/>
                <w:szCs w:val="20"/>
              </w:rPr>
              <w:t>年</w:t>
            </w:r>
            <w:r>
              <w:rPr>
                <w:sz w:val="20"/>
                <w:szCs w:val="20"/>
              </w:rPr>
              <w:t xml:space="preserve">      </w:t>
            </w:r>
            <w:r>
              <w:rPr>
                <w:rFonts w:hint="eastAsia" w:cs="宋体"/>
                <w:sz w:val="20"/>
                <w:szCs w:val="20"/>
              </w:rPr>
              <w:t>月</w:t>
            </w:r>
            <w:r>
              <w:rPr>
                <w:sz w:val="20"/>
                <w:szCs w:val="20"/>
              </w:rPr>
              <w:t xml:space="preserve">    </w:t>
            </w:r>
            <w:r>
              <w:rPr>
                <w:rFonts w:hint="eastAsia"/>
                <w:sz w:val="20"/>
                <w:szCs w:val="20"/>
              </w:rPr>
              <w:t xml:space="preserve">  </w:t>
            </w:r>
            <w:r>
              <w:rPr>
                <w:rFonts w:hint="eastAsia" w:cs="宋体"/>
                <w:sz w:val="20"/>
                <w:szCs w:val="20"/>
              </w:rPr>
              <w:t>日</w:t>
            </w:r>
          </w:p>
          <w:p w14:paraId="7D8F2C3E">
            <w:pPr>
              <w:spacing w:line="360" w:lineRule="auto"/>
              <w:ind w:firstLine="7980" w:firstLineChars="2850"/>
              <w:rPr>
                <w:rFonts w:hint="eastAsia"/>
                <w:sz w:val="28"/>
                <w:szCs w:val="28"/>
              </w:rPr>
            </w:pPr>
          </w:p>
        </w:tc>
      </w:tr>
    </w:tbl>
    <w:p w14:paraId="390238A0">
      <w:pPr>
        <w:numPr>
          <w:ilvl w:val="0"/>
          <w:numId w:val="0"/>
        </w:numPr>
        <w:spacing w:after="62" w:line="400" w:lineRule="exact"/>
        <w:rPr>
          <w:rFonts w:hint="eastAsia" w:eastAsia="黑体"/>
          <w:b/>
          <w:bCs/>
        </w:rPr>
      </w:pPr>
    </w:p>
    <w:p w14:paraId="79A23220">
      <w:pPr>
        <w:ind w:right="105"/>
        <w:rPr>
          <w:rFonts w:hint="eastAsia" w:ascii="宋体"/>
          <w:sz w:val="20"/>
          <w:szCs w:val="20"/>
        </w:rPr>
        <w:sectPr>
          <w:pgSz w:w="11907" w:h="16840"/>
          <w:pgMar w:top="1411" w:right="1411" w:bottom="1411" w:left="1411" w:header="851" w:footer="992" w:gutter="0"/>
          <w:cols w:space="720" w:num="1"/>
          <w:docGrid w:linePitch="312" w:charSpace="0"/>
        </w:sectPr>
      </w:pPr>
    </w:p>
    <w:p w14:paraId="63AB29FD">
      <w:pPr>
        <w:ind w:right="105"/>
        <w:rPr>
          <w:rFonts w:ascii="宋体"/>
          <w:sz w:val="20"/>
          <w:szCs w:val="20"/>
        </w:rPr>
      </w:pPr>
    </w:p>
    <w:p w14:paraId="6A29AEF1">
      <w:pPr>
        <w:pStyle w:val="2"/>
        <w:spacing w:before="0" w:after="93" w:line="360" w:lineRule="exact"/>
        <w:ind w:firstLine="526" w:firstLineChars="250"/>
        <w:rPr>
          <w:rFonts w:eastAsia="黑体"/>
          <w:kern w:val="2"/>
          <w:sz w:val="21"/>
          <w:szCs w:val="21"/>
        </w:rPr>
      </w:pPr>
      <w:r>
        <w:rPr>
          <w:rFonts w:hint="eastAsia" w:eastAsia="黑体"/>
          <w:kern w:val="2"/>
          <w:sz w:val="21"/>
          <w:szCs w:val="21"/>
        </w:rPr>
        <w:t>二、项目研究成果目录</w:t>
      </w:r>
    </w:p>
    <w:tbl>
      <w:tblPr>
        <w:tblStyle w:val="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6"/>
        <w:gridCol w:w="1304"/>
        <w:gridCol w:w="2132"/>
        <w:gridCol w:w="1507"/>
      </w:tblGrid>
      <w:tr w14:paraId="6758A183">
        <w:trPr>
          <w:trHeight w:val="851" w:hRule="exact"/>
          <w:jc w:val="center"/>
        </w:trPr>
        <w:tc>
          <w:tcPr>
            <w:tcW w:w="2098" w:type="pct"/>
            <w:tcBorders>
              <w:top w:val="single" w:color="auto" w:sz="4" w:space="0"/>
              <w:left w:val="single" w:color="auto" w:sz="4" w:space="0"/>
              <w:bottom w:val="single" w:color="auto" w:sz="4" w:space="0"/>
              <w:right w:val="single" w:color="auto" w:sz="4" w:space="0"/>
            </w:tcBorders>
            <w:vAlign w:val="center"/>
          </w:tcPr>
          <w:p w14:paraId="6A4C2041">
            <w:pPr>
              <w:jc w:val="center"/>
              <w:rPr>
                <w:sz w:val="20"/>
                <w:szCs w:val="20"/>
              </w:rPr>
            </w:pPr>
            <w:r>
              <w:rPr>
                <w:rFonts w:hint="eastAsia" w:cs="宋体"/>
                <w:sz w:val="20"/>
                <w:szCs w:val="20"/>
              </w:rPr>
              <w:t>成</w:t>
            </w:r>
            <w:r>
              <w:rPr>
                <w:sz w:val="20"/>
                <w:szCs w:val="20"/>
              </w:rPr>
              <w:t xml:space="preserve">  </w:t>
            </w:r>
            <w:r>
              <w:rPr>
                <w:rFonts w:hint="eastAsia" w:cs="宋体"/>
                <w:sz w:val="20"/>
                <w:szCs w:val="20"/>
              </w:rPr>
              <w:t>果</w:t>
            </w:r>
            <w:r>
              <w:rPr>
                <w:sz w:val="20"/>
                <w:szCs w:val="20"/>
              </w:rPr>
              <w:t xml:space="preserve">  </w:t>
            </w:r>
            <w:r>
              <w:rPr>
                <w:rFonts w:hint="eastAsia" w:cs="宋体"/>
                <w:sz w:val="20"/>
                <w:szCs w:val="20"/>
              </w:rPr>
              <w:t>名</w:t>
            </w:r>
            <w:r>
              <w:rPr>
                <w:sz w:val="20"/>
                <w:szCs w:val="20"/>
              </w:rPr>
              <w:t xml:space="preserve">  </w:t>
            </w:r>
            <w:r>
              <w:rPr>
                <w:rFonts w:hint="eastAsia" w:cs="宋体"/>
                <w:sz w:val="20"/>
                <w:szCs w:val="20"/>
              </w:rPr>
              <w:t>称</w:t>
            </w:r>
          </w:p>
        </w:tc>
        <w:tc>
          <w:tcPr>
            <w:tcW w:w="765" w:type="pct"/>
            <w:tcBorders>
              <w:top w:val="single" w:color="auto" w:sz="4" w:space="0"/>
              <w:left w:val="single" w:color="auto" w:sz="4" w:space="0"/>
              <w:bottom w:val="single" w:color="auto" w:sz="4" w:space="0"/>
              <w:right w:val="single" w:color="auto" w:sz="4" w:space="0"/>
            </w:tcBorders>
            <w:vAlign w:val="center"/>
          </w:tcPr>
          <w:p w14:paraId="3EC665FB">
            <w:pPr>
              <w:jc w:val="center"/>
              <w:rPr>
                <w:sz w:val="20"/>
                <w:szCs w:val="20"/>
              </w:rPr>
            </w:pPr>
            <w:r>
              <w:rPr>
                <w:rFonts w:hint="eastAsia" w:cs="宋体"/>
                <w:sz w:val="20"/>
                <w:szCs w:val="20"/>
              </w:rPr>
              <w:t>主要完成人</w:t>
            </w:r>
          </w:p>
        </w:tc>
        <w:tc>
          <w:tcPr>
            <w:tcW w:w="1251" w:type="pct"/>
            <w:tcBorders>
              <w:top w:val="single" w:color="auto" w:sz="4" w:space="0"/>
              <w:left w:val="single" w:color="auto" w:sz="4" w:space="0"/>
              <w:bottom w:val="single" w:color="auto" w:sz="4" w:space="0"/>
              <w:right w:val="single" w:color="auto" w:sz="4" w:space="0"/>
            </w:tcBorders>
            <w:vAlign w:val="center"/>
          </w:tcPr>
          <w:p w14:paraId="04879036">
            <w:pPr>
              <w:jc w:val="center"/>
              <w:rPr>
                <w:rFonts w:hint="eastAsia" w:cs="宋体"/>
                <w:sz w:val="20"/>
                <w:szCs w:val="20"/>
              </w:rPr>
            </w:pPr>
            <w:r>
              <w:rPr>
                <w:rFonts w:hint="eastAsia" w:cs="宋体"/>
                <w:sz w:val="20"/>
                <w:szCs w:val="20"/>
              </w:rPr>
              <w:t>鉴定/奖励单位及时间</w:t>
            </w:r>
          </w:p>
          <w:p w14:paraId="521D81CF">
            <w:pPr>
              <w:jc w:val="center"/>
              <w:rPr>
                <w:sz w:val="20"/>
                <w:szCs w:val="20"/>
              </w:rPr>
            </w:pPr>
            <w:r>
              <w:rPr>
                <w:rFonts w:hint="eastAsia" w:cs="宋体"/>
                <w:sz w:val="20"/>
                <w:szCs w:val="20"/>
              </w:rPr>
              <w:t>发表刊物/出版社及时间</w:t>
            </w:r>
          </w:p>
        </w:tc>
        <w:tc>
          <w:tcPr>
            <w:tcW w:w="884" w:type="pct"/>
            <w:tcBorders>
              <w:top w:val="single" w:color="auto" w:sz="4" w:space="0"/>
              <w:left w:val="single" w:color="auto" w:sz="4" w:space="0"/>
              <w:bottom w:val="single" w:color="auto" w:sz="4" w:space="0"/>
              <w:right w:val="single" w:color="auto" w:sz="4" w:space="0"/>
            </w:tcBorders>
            <w:vAlign w:val="center"/>
          </w:tcPr>
          <w:p w14:paraId="1F08F53F">
            <w:pPr>
              <w:jc w:val="center"/>
              <w:rPr>
                <w:sz w:val="20"/>
                <w:szCs w:val="20"/>
              </w:rPr>
            </w:pPr>
            <w:r>
              <w:rPr>
                <w:rFonts w:hint="eastAsia" w:cs="宋体"/>
                <w:sz w:val="20"/>
                <w:szCs w:val="20"/>
              </w:rPr>
              <w:t>备  注</w:t>
            </w:r>
          </w:p>
        </w:tc>
      </w:tr>
      <w:tr w14:paraId="7BC042F9">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vAlign w:val="top"/>
          </w:tcPr>
          <w:p w14:paraId="131A7E60">
            <w:pPr>
              <w:jc w:val="center"/>
            </w:pPr>
            <w:r>
              <w:rPr>
                <w:rFonts w:hint="eastAsia"/>
              </w:rPr>
              <w:t>《Optimizing label correlation in deep learning-based side-channel analysis》</w:t>
            </w:r>
          </w:p>
        </w:tc>
        <w:tc>
          <w:tcPr>
            <w:tcW w:w="1304" w:type="dxa"/>
            <w:tcBorders>
              <w:top w:val="single" w:color="auto" w:sz="4" w:space="0"/>
              <w:left w:val="single" w:color="auto" w:sz="4" w:space="0"/>
              <w:bottom w:val="single" w:color="auto" w:sz="4" w:space="0"/>
              <w:right w:val="single" w:color="auto" w:sz="4" w:space="0"/>
            </w:tcBorders>
            <w:vAlign w:val="top"/>
          </w:tcPr>
          <w:p w14:paraId="0DDD9335">
            <w:pPr>
              <w:jc w:val="center"/>
              <w:rPr>
                <w:rFonts w:hint="default" w:eastAsia="宋体"/>
                <w:lang w:val="en-US" w:eastAsia="zh-CN"/>
              </w:rPr>
            </w:pPr>
            <w:r>
              <w:rPr>
                <w:rFonts w:hint="eastAsia"/>
                <w:lang w:val="en-US" w:eastAsia="zh-CN"/>
              </w:rPr>
              <w:t>夏生成、向嘉豪</w:t>
            </w:r>
          </w:p>
        </w:tc>
        <w:tc>
          <w:tcPr>
            <w:tcW w:w="2132" w:type="dxa"/>
            <w:tcBorders>
              <w:top w:val="single" w:color="auto" w:sz="4" w:space="0"/>
              <w:left w:val="single" w:color="auto" w:sz="4" w:space="0"/>
              <w:bottom w:val="single" w:color="auto" w:sz="4" w:space="0"/>
              <w:right w:val="single" w:color="auto" w:sz="4" w:space="0"/>
            </w:tcBorders>
            <w:vAlign w:val="top"/>
          </w:tcPr>
          <w:p w14:paraId="488B7522">
            <w:pPr>
              <w:jc w:val="center"/>
            </w:pPr>
            <w:r>
              <w:rPr>
                <w:rFonts w:hint="eastAsia"/>
              </w:rPr>
              <w:t>2</w:t>
            </w:r>
            <w:r>
              <w:t>02</w:t>
            </w:r>
            <w:r>
              <w:rPr>
                <w:rFonts w:hint="eastAsia"/>
                <w:lang w:val="en-US" w:eastAsia="zh-CN"/>
              </w:rPr>
              <w:t>5-7-3号</w:t>
            </w:r>
            <w:r>
              <w:rPr>
                <w:rFonts w:hint="eastAsia"/>
              </w:rPr>
              <w:t>中科院</w:t>
            </w:r>
            <w:r>
              <w:t>SCI</w:t>
            </w:r>
            <w:r>
              <w:rPr>
                <w:rFonts w:hint="eastAsia"/>
                <w:lang w:val="en-US" w:eastAsia="zh-CN"/>
              </w:rPr>
              <w:t>三</w:t>
            </w:r>
            <w:r>
              <w:t>区期刊</w:t>
            </w:r>
            <w:r>
              <w:rPr>
                <w:rFonts w:hint="default"/>
              </w:rPr>
              <w:t>Microelectronics Journal</w:t>
            </w:r>
            <w:r>
              <w:rPr>
                <w:rFonts w:hint="eastAsia"/>
              </w:rPr>
              <w:t>发表</w:t>
            </w:r>
          </w:p>
        </w:tc>
        <w:tc>
          <w:tcPr>
            <w:tcW w:w="1507" w:type="dxa"/>
            <w:tcBorders>
              <w:top w:val="single" w:color="auto" w:sz="4" w:space="0"/>
              <w:left w:val="single" w:color="auto" w:sz="4" w:space="0"/>
              <w:bottom w:val="single" w:color="auto" w:sz="4" w:space="0"/>
              <w:right w:val="single" w:color="auto" w:sz="4" w:space="0"/>
            </w:tcBorders>
            <w:vAlign w:val="top"/>
          </w:tcPr>
          <w:p w14:paraId="5B0538BC">
            <w:pPr>
              <w:jc w:val="center"/>
            </w:pPr>
            <w:r>
              <w:rPr>
                <w:rFonts w:hint="eastAsia"/>
              </w:rPr>
              <w:t>论文</w:t>
            </w:r>
          </w:p>
        </w:tc>
      </w:tr>
      <w:tr w14:paraId="3BF4284E">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shd w:val="clear" w:color="auto" w:fill="auto"/>
            <w:vAlign w:val="top"/>
          </w:tcPr>
          <w:p w14:paraId="135C498A">
            <w:pPr>
              <w:jc w:val="center"/>
              <w:rPr>
                <w:rFonts w:ascii="Times New Roman" w:hAnsi="Times New Roman" w:eastAsia="宋体" w:cs="Times New Roman"/>
                <w:kern w:val="2"/>
                <w:sz w:val="21"/>
                <w:szCs w:val="24"/>
                <w:lang w:val="en-US" w:eastAsia="zh-CN" w:bidi="ar-SA"/>
              </w:rPr>
            </w:pPr>
            <w:r>
              <w:rPr>
                <w:rFonts w:hint="eastAsia"/>
              </w:rPr>
              <w:t>《Tripm: a multi-label deep learning SCA model for multi-byte attacks》</w:t>
            </w:r>
          </w:p>
        </w:tc>
        <w:tc>
          <w:tcPr>
            <w:tcW w:w="1304" w:type="dxa"/>
            <w:tcBorders>
              <w:top w:val="single" w:color="auto" w:sz="4" w:space="0"/>
              <w:left w:val="single" w:color="auto" w:sz="4" w:space="0"/>
              <w:bottom w:val="single" w:color="auto" w:sz="4" w:space="0"/>
              <w:right w:val="single" w:color="auto" w:sz="4" w:space="0"/>
            </w:tcBorders>
            <w:shd w:val="clear" w:color="auto" w:fill="auto"/>
            <w:vAlign w:val="top"/>
          </w:tcPr>
          <w:p w14:paraId="37D32C95">
            <w:pPr>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邓联瑞、向嘉豪</w:t>
            </w:r>
          </w:p>
        </w:tc>
        <w:tc>
          <w:tcPr>
            <w:tcW w:w="2132" w:type="dxa"/>
            <w:tcBorders>
              <w:top w:val="single" w:color="auto" w:sz="4" w:space="0"/>
              <w:left w:val="single" w:color="auto" w:sz="4" w:space="0"/>
              <w:bottom w:val="single" w:color="auto" w:sz="4" w:space="0"/>
              <w:right w:val="single" w:color="auto" w:sz="4" w:space="0"/>
            </w:tcBorders>
            <w:shd w:val="clear" w:color="auto" w:fill="auto"/>
            <w:vAlign w:val="top"/>
          </w:tcPr>
          <w:p w14:paraId="3665511A">
            <w:pPr>
              <w:jc w:val="center"/>
              <w:rPr>
                <w:rFonts w:ascii="Times New Roman" w:hAnsi="Times New Roman" w:eastAsia="宋体" w:cs="Times New Roman"/>
                <w:kern w:val="2"/>
                <w:sz w:val="21"/>
                <w:szCs w:val="24"/>
                <w:lang w:val="en-US" w:eastAsia="zh-CN" w:bidi="ar-SA"/>
              </w:rPr>
            </w:pPr>
            <w:r>
              <w:rPr>
                <w:rFonts w:hint="eastAsia"/>
              </w:rPr>
              <w:t>2</w:t>
            </w:r>
            <w:r>
              <w:t>02</w:t>
            </w:r>
            <w:r>
              <w:rPr>
                <w:rFonts w:hint="eastAsia"/>
                <w:lang w:val="en-US" w:eastAsia="zh-CN"/>
              </w:rPr>
              <w:t>5-1-31号</w:t>
            </w:r>
            <w:r>
              <w:rPr>
                <w:rFonts w:hint="eastAsia"/>
              </w:rPr>
              <w:t>中科院</w:t>
            </w:r>
            <w:r>
              <w:t>SCI</w:t>
            </w:r>
            <w:r>
              <w:rPr>
                <w:rFonts w:hint="eastAsia"/>
                <w:lang w:val="en-US" w:eastAsia="zh-CN"/>
              </w:rPr>
              <w:t>四</w:t>
            </w:r>
            <w:r>
              <w:t>区期刊</w:t>
            </w:r>
            <w:r>
              <w:rPr>
                <w:rFonts w:hint="default"/>
              </w:rPr>
              <w:t>International Journal of Machine Learning and Cybernetics</w:t>
            </w:r>
            <w:r>
              <w:rPr>
                <w:rFonts w:hint="eastAsia"/>
              </w:rPr>
              <w:t>发表</w:t>
            </w:r>
          </w:p>
        </w:tc>
        <w:tc>
          <w:tcPr>
            <w:tcW w:w="1507" w:type="dxa"/>
            <w:tcBorders>
              <w:top w:val="single" w:color="auto" w:sz="4" w:space="0"/>
              <w:left w:val="single" w:color="auto" w:sz="4" w:space="0"/>
              <w:bottom w:val="single" w:color="auto" w:sz="4" w:space="0"/>
              <w:right w:val="single" w:color="auto" w:sz="4" w:space="0"/>
            </w:tcBorders>
            <w:shd w:val="clear" w:color="auto" w:fill="auto"/>
            <w:vAlign w:val="top"/>
          </w:tcPr>
          <w:p w14:paraId="1EF5A785">
            <w:pPr>
              <w:jc w:val="center"/>
              <w:rPr>
                <w:rFonts w:ascii="Times New Roman" w:hAnsi="Times New Roman" w:eastAsia="宋体" w:cs="Times New Roman"/>
                <w:kern w:val="2"/>
                <w:sz w:val="21"/>
                <w:szCs w:val="24"/>
                <w:lang w:val="en-US" w:eastAsia="zh-CN" w:bidi="ar-SA"/>
              </w:rPr>
            </w:pPr>
            <w:r>
              <w:rPr>
                <w:rFonts w:hint="eastAsia"/>
              </w:rPr>
              <w:t>论文</w:t>
            </w:r>
          </w:p>
        </w:tc>
      </w:tr>
      <w:tr w14:paraId="78467F66">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vAlign w:val="top"/>
          </w:tcPr>
          <w:p w14:paraId="3DCDDEA2">
            <w:pPr>
              <w:jc w:val="center"/>
            </w:pPr>
            <w:r>
              <w:rPr>
                <w:rFonts w:hint="eastAsia"/>
              </w:rPr>
              <w:t>《</w:t>
            </w:r>
            <w:r>
              <w:rPr>
                <w:rFonts w:hint="eastAsia" w:cs="宋体"/>
              </w:rPr>
              <w:t>Low-Latency Implementation of Bitsliced SPN-Cipher on IoT</w:t>
            </w:r>
            <w:r>
              <w:rPr>
                <w:rFonts w:hint="eastAsia" w:cs="宋体"/>
                <w:lang w:val="en-US" w:eastAsia="zh-CN"/>
              </w:rPr>
              <w:t xml:space="preserve"> </w:t>
            </w:r>
            <w:r>
              <w:rPr>
                <w:rFonts w:hint="eastAsia" w:cs="宋体"/>
              </w:rPr>
              <w:t>Processors</w:t>
            </w:r>
            <w:r>
              <w:rPr>
                <w:rFonts w:hint="eastAsia"/>
              </w:rPr>
              <w:t>》</w:t>
            </w:r>
          </w:p>
        </w:tc>
        <w:tc>
          <w:tcPr>
            <w:tcW w:w="1304" w:type="dxa"/>
            <w:tcBorders>
              <w:top w:val="single" w:color="auto" w:sz="4" w:space="0"/>
              <w:left w:val="single" w:color="auto" w:sz="4" w:space="0"/>
              <w:bottom w:val="single" w:color="auto" w:sz="4" w:space="0"/>
              <w:right w:val="single" w:color="auto" w:sz="4" w:space="0"/>
            </w:tcBorders>
            <w:vAlign w:val="top"/>
          </w:tcPr>
          <w:p w14:paraId="61E24C51">
            <w:pPr>
              <w:jc w:val="center"/>
              <w:rPr>
                <w:rFonts w:hint="default" w:eastAsia="宋体"/>
                <w:lang w:val="en-US" w:eastAsia="zh-CN"/>
              </w:rPr>
            </w:pPr>
            <w:r>
              <w:rPr>
                <w:rFonts w:hint="eastAsia"/>
                <w:lang w:val="en-US" w:eastAsia="zh-CN"/>
              </w:rPr>
              <w:t>向嘉豪</w:t>
            </w:r>
          </w:p>
        </w:tc>
        <w:tc>
          <w:tcPr>
            <w:tcW w:w="2132" w:type="dxa"/>
            <w:tcBorders>
              <w:top w:val="single" w:color="auto" w:sz="4" w:space="0"/>
              <w:left w:val="single" w:color="auto" w:sz="4" w:space="0"/>
              <w:bottom w:val="single" w:color="auto" w:sz="4" w:space="0"/>
              <w:right w:val="single" w:color="auto" w:sz="4" w:space="0"/>
            </w:tcBorders>
            <w:vAlign w:val="top"/>
          </w:tcPr>
          <w:p w14:paraId="1D7E6E8A">
            <w:pPr>
              <w:jc w:val="both"/>
              <w:rPr>
                <w:rFonts w:hint="default" w:eastAsia="宋体"/>
                <w:lang w:val="en-US" w:eastAsia="zh-CN"/>
              </w:rPr>
            </w:pPr>
            <w:r>
              <w:rPr>
                <w:rFonts w:hint="eastAsia"/>
                <w:lang w:val="en-US" w:eastAsia="zh-CN"/>
              </w:rPr>
              <w:t>中科院SCI二区CCF-A</w:t>
            </w:r>
            <w:r>
              <w:rPr>
                <w:rFonts w:hint="eastAsia"/>
              </w:rPr>
              <w:t>期刊</w:t>
            </w:r>
            <w:r>
              <w:rPr>
                <w:rFonts w:hint="eastAsia" w:cs="宋体"/>
              </w:rPr>
              <w:t>IEEE Transactions on Computers</w:t>
            </w:r>
            <w:r>
              <w:rPr>
                <w:rFonts w:hint="eastAsia" w:cs="宋体"/>
                <w:lang w:val="en-US" w:eastAsia="zh-CN"/>
              </w:rPr>
              <w:t xml:space="preserve"> 二审中</w:t>
            </w:r>
          </w:p>
        </w:tc>
        <w:tc>
          <w:tcPr>
            <w:tcW w:w="1507" w:type="dxa"/>
            <w:tcBorders>
              <w:top w:val="single" w:color="auto" w:sz="4" w:space="0"/>
              <w:left w:val="single" w:color="auto" w:sz="4" w:space="0"/>
              <w:bottom w:val="single" w:color="auto" w:sz="4" w:space="0"/>
              <w:right w:val="single" w:color="auto" w:sz="4" w:space="0"/>
            </w:tcBorders>
            <w:vAlign w:val="top"/>
          </w:tcPr>
          <w:p w14:paraId="3C20EC18">
            <w:pPr>
              <w:jc w:val="center"/>
            </w:pPr>
            <w:r>
              <w:rPr>
                <w:rFonts w:hint="eastAsia"/>
              </w:rPr>
              <w:t>论文</w:t>
            </w:r>
          </w:p>
        </w:tc>
      </w:tr>
      <w:tr w14:paraId="532376D6">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shd w:val="clear" w:color="auto" w:fill="auto"/>
            <w:vAlign w:val="top"/>
          </w:tcPr>
          <w:p w14:paraId="1217094D">
            <w:pPr>
              <w:jc w:val="center"/>
              <w:rPr>
                <w:rFonts w:ascii="Times New Roman" w:hAnsi="Times New Roman" w:eastAsia="宋体" w:cs="Times New Roman"/>
                <w:kern w:val="2"/>
                <w:sz w:val="21"/>
                <w:szCs w:val="24"/>
                <w:lang w:val="en-US" w:eastAsia="zh-CN" w:bidi="ar-SA"/>
              </w:rPr>
            </w:pPr>
            <w:r>
              <w:rPr>
                <w:rFonts w:hint="eastAsia"/>
              </w:rPr>
              <w:t>《</w:t>
            </w:r>
            <w:r>
              <w:rPr>
                <w:rFonts w:hint="eastAsia" w:cs="宋体"/>
              </w:rPr>
              <w:t>Thread-Adaptive: High-Throughput Parallel Architectures of SLH-DSA on GPUs</w:t>
            </w:r>
            <w:r>
              <w:rPr>
                <w:rFonts w:hint="eastAsia"/>
              </w:rPr>
              <w:t>》</w:t>
            </w:r>
          </w:p>
        </w:tc>
        <w:tc>
          <w:tcPr>
            <w:tcW w:w="1304" w:type="dxa"/>
            <w:tcBorders>
              <w:top w:val="single" w:color="auto" w:sz="4" w:space="0"/>
              <w:left w:val="single" w:color="auto" w:sz="4" w:space="0"/>
              <w:bottom w:val="single" w:color="auto" w:sz="4" w:space="0"/>
              <w:right w:val="single" w:color="auto" w:sz="4" w:space="0"/>
            </w:tcBorders>
            <w:shd w:val="clear" w:color="auto" w:fill="auto"/>
            <w:vAlign w:val="top"/>
          </w:tcPr>
          <w:p w14:paraId="22F1FD29">
            <w:pPr>
              <w:jc w:val="center"/>
              <w:rPr>
                <w:rFonts w:hint="default" w:ascii="Times New Roman" w:hAnsi="Times New Roman" w:eastAsia="宋体" w:cs="Times New Roman"/>
                <w:kern w:val="2"/>
                <w:sz w:val="21"/>
                <w:szCs w:val="24"/>
                <w:lang w:val="en-US" w:eastAsia="zh-CN" w:bidi="ar-SA"/>
              </w:rPr>
            </w:pPr>
            <w:r>
              <w:rPr>
                <w:rFonts w:hint="eastAsia"/>
                <w:lang w:val="en-US" w:eastAsia="zh-CN"/>
              </w:rPr>
              <w:t>向嘉豪</w:t>
            </w:r>
          </w:p>
        </w:tc>
        <w:tc>
          <w:tcPr>
            <w:tcW w:w="2132" w:type="dxa"/>
            <w:tcBorders>
              <w:top w:val="single" w:color="auto" w:sz="4" w:space="0"/>
              <w:left w:val="single" w:color="auto" w:sz="4" w:space="0"/>
              <w:bottom w:val="single" w:color="auto" w:sz="4" w:space="0"/>
              <w:right w:val="single" w:color="auto" w:sz="4" w:space="0"/>
            </w:tcBorders>
            <w:shd w:val="clear" w:color="auto" w:fill="auto"/>
            <w:vAlign w:val="top"/>
          </w:tcPr>
          <w:p w14:paraId="756A9CBF">
            <w:pPr>
              <w:jc w:val="both"/>
              <w:rPr>
                <w:rFonts w:hint="default" w:ascii="Times New Roman" w:hAnsi="Times New Roman" w:eastAsia="宋体" w:cs="Times New Roman"/>
                <w:kern w:val="2"/>
                <w:sz w:val="21"/>
                <w:szCs w:val="24"/>
                <w:lang w:val="en-US" w:eastAsia="zh-CN" w:bidi="ar-SA"/>
              </w:rPr>
            </w:pPr>
            <w:r>
              <w:rPr>
                <w:rFonts w:hint="eastAsia"/>
                <w:lang w:val="en-US" w:eastAsia="zh-CN"/>
              </w:rPr>
              <w:t>中科院SCI四区</w:t>
            </w:r>
            <w:r>
              <w:rPr>
                <w:rFonts w:hint="eastAsia"/>
              </w:rPr>
              <w:t>期刊</w:t>
            </w:r>
            <w:r>
              <w:rPr>
                <w:rFonts w:hint="eastAsia" w:cs="宋体"/>
              </w:rPr>
              <w:t>IEEE Computer Architecture Letters</w:t>
            </w:r>
            <w:r>
              <w:rPr>
                <w:rFonts w:hint="eastAsia" w:cs="宋体"/>
                <w:lang w:val="en-US" w:eastAsia="zh-CN"/>
              </w:rPr>
              <w:t xml:space="preserve"> 一审返修中</w:t>
            </w:r>
          </w:p>
        </w:tc>
        <w:tc>
          <w:tcPr>
            <w:tcW w:w="1507" w:type="dxa"/>
            <w:tcBorders>
              <w:top w:val="single" w:color="auto" w:sz="4" w:space="0"/>
              <w:left w:val="single" w:color="auto" w:sz="4" w:space="0"/>
              <w:bottom w:val="single" w:color="auto" w:sz="4" w:space="0"/>
              <w:right w:val="single" w:color="auto" w:sz="4" w:space="0"/>
            </w:tcBorders>
            <w:shd w:val="clear" w:color="auto" w:fill="auto"/>
            <w:vAlign w:val="top"/>
          </w:tcPr>
          <w:p w14:paraId="34071709">
            <w:pPr>
              <w:jc w:val="center"/>
              <w:rPr>
                <w:rFonts w:ascii="Times New Roman" w:hAnsi="Times New Roman" w:eastAsia="宋体" w:cs="Times New Roman"/>
                <w:kern w:val="2"/>
                <w:sz w:val="21"/>
                <w:szCs w:val="24"/>
                <w:lang w:val="en-US" w:eastAsia="zh-CN" w:bidi="ar-SA"/>
              </w:rPr>
            </w:pPr>
            <w:r>
              <w:rPr>
                <w:rFonts w:hint="eastAsia"/>
              </w:rPr>
              <w:t>论文</w:t>
            </w:r>
          </w:p>
        </w:tc>
      </w:tr>
      <w:tr w14:paraId="3A91FF7D">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vAlign w:val="top"/>
          </w:tcPr>
          <w:p w14:paraId="1176A653">
            <w:pPr>
              <w:jc w:val="center"/>
            </w:pPr>
            <w:r>
              <w:rPr>
                <w:rFonts w:hint="eastAsia"/>
              </w:rPr>
              <w:t>《QLW:A lightweight block</w:t>
            </w:r>
            <w:r>
              <w:rPr>
                <w:rFonts w:hint="eastAsia"/>
                <w:lang w:val="en-US" w:eastAsia="zh-CN"/>
              </w:rPr>
              <w:t xml:space="preserve"> </w:t>
            </w:r>
            <w:r>
              <w:rPr>
                <w:rFonts w:hint="eastAsia"/>
              </w:rPr>
              <w:t>cipher</w:t>
            </w:r>
            <w:r>
              <w:rPr>
                <w:rFonts w:hint="eastAsia"/>
                <w:lang w:val="en-US" w:eastAsia="zh-CN"/>
              </w:rPr>
              <w:t xml:space="preserve"> </w:t>
            </w:r>
            <w:r>
              <w:rPr>
                <w:rFonts w:hint="eastAsia"/>
              </w:rPr>
              <w:t>with high diffusion》</w:t>
            </w:r>
          </w:p>
        </w:tc>
        <w:tc>
          <w:tcPr>
            <w:tcW w:w="1304" w:type="dxa"/>
            <w:tcBorders>
              <w:top w:val="single" w:color="auto" w:sz="4" w:space="0"/>
              <w:left w:val="single" w:color="auto" w:sz="4" w:space="0"/>
              <w:bottom w:val="single" w:color="auto" w:sz="4" w:space="0"/>
              <w:right w:val="single" w:color="auto" w:sz="4" w:space="0"/>
            </w:tcBorders>
            <w:vAlign w:val="top"/>
          </w:tcPr>
          <w:p w14:paraId="14A7DD03">
            <w:pPr>
              <w:jc w:val="center"/>
            </w:pPr>
            <w:r>
              <w:rPr>
                <w:rFonts w:hint="eastAsia" w:cs="Times New Roman"/>
                <w:kern w:val="2"/>
                <w:sz w:val="21"/>
                <w:szCs w:val="24"/>
                <w:lang w:val="en-US" w:eastAsia="zh-CN" w:bidi="ar-SA"/>
              </w:rPr>
              <w:t>岳兴起、向嘉豪</w:t>
            </w:r>
          </w:p>
        </w:tc>
        <w:tc>
          <w:tcPr>
            <w:tcW w:w="2132" w:type="dxa"/>
            <w:tcBorders>
              <w:top w:val="single" w:color="auto" w:sz="4" w:space="0"/>
              <w:left w:val="single" w:color="auto" w:sz="4" w:space="0"/>
              <w:bottom w:val="single" w:color="auto" w:sz="4" w:space="0"/>
              <w:right w:val="single" w:color="auto" w:sz="4" w:space="0"/>
            </w:tcBorders>
            <w:vAlign w:val="top"/>
          </w:tcPr>
          <w:p w14:paraId="6D7B0F99">
            <w:pPr>
              <w:jc w:val="center"/>
            </w:pPr>
            <w:r>
              <w:rPr>
                <w:rFonts w:hint="eastAsia"/>
              </w:rPr>
              <w:t>2</w:t>
            </w:r>
            <w:r>
              <w:t>02</w:t>
            </w:r>
            <w:r>
              <w:rPr>
                <w:rFonts w:hint="eastAsia"/>
                <w:lang w:val="en-US" w:eastAsia="zh-CN"/>
              </w:rPr>
              <w:t>4</w:t>
            </w:r>
            <w:bookmarkStart w:id="0" w:name="_GoBack"/>
            <w:bookmarkEnd w:id="0"/>
            <w:r>
              <w:rPr>
                <w:rFonts w:hint="eastAsia"/>
              </w:rPr>
              <w:t>年</w:t>
            </w:r>
            <w:r>
              <w:rPr>
                <w:rFonts w:hint="eastAsia"/>
                <w:lang w:val="en-US" w:eastAsia="zh-CN"/>
              </w:rPr>
              <w:t>12</w:t>
            </w:r>
            <w:r>
              <w:rPr>
                <w:rFonts w:hint="eastAsia"/>
              </w:rPr>
              <w:t>月</w:t>
            </w:r>
            <w:r>
              <w:rPr>
                <w:rFonts w:hint="default"/>
              </w:rPr>
              <w:t>湖南省第十七届研究生创新论坛中获优秀论文二等奖</w:t>
            </w:r>
          </w:p>
        </w:tc>
        <w:tc>
          <w:tcPr>
            <w:tcW w:w="1507" w:type="dxa"/>
            <w:tcBorders>
              <w:top w:val="single" w:color="auto" w:sz="4" w:space="0"/>
              <w:left w:val="single" w:color="auto" w:sz="4" w:space="0"/>
              <w:bottom w:val="single" w:color="auto" w:sz="4" w:space="0"/>
              <w:right w:val="single" w:color="auto" w:sz="4" w:space="0"/>
            </w:tcBorders>
            <w:vAlign w:val="top"/>
          </w:tcPr>
          <w:p w14:paraId="72A50CBB">
            <w:pPr>
              <w:jc w:val="center"/>
            </w:pPr>
            <w:r>
              <w:rPr>
                <w:rFonts w:hint="eastAsia"/>
              </w:rPr>
              <w:t>获奖</w:t>
            </w:r>
          </w:p>
        </w:tc>
      </w:tr>
      <w:tr w14:paraId="37708F6D">
        <w:trPr>
          <w:trHeight w:val="1111" w:hRule="atLeast"/>
          <w:jc w:val="center"/>
        </w:trPr>
        <w:tc>
          <w:tcPr>
            <w:tcW w:w="3576" w:type="dxa"/>
            <w:tcBorders>
              <w:top w:val="single" w:color="auto" w:sz="4" w:space="0"/>
              <w:left w:val="single" w:color="auto" w:sz="4" w:space="0"/>
              <w:bottom w:val="single" w:color="auto" w:sz="4" w:space="0"/>
              <w:right w:val="single" w:color="auto" w:sz="4" w:space="0"/>
            </w:tcBorders>
            <w:vAlign w:val="top"/>
          </w:tcPr>
          <w:p w14:paraId="3782327B">
            <w:r>
              <w:rPr>
                <w:rFonts w:hint="eastAsia"/>
                <w:lang w:eastAsia="zh-CN"/>
              </w:rPr>
              <w:t>《</w:t>
            </w:r>
            <w:r>
              <w:rPr>
                <w:rFonts w:hint="default"/>
              </w:rPr>
              <w:t>安“芯”卫家一智能家居信息安全保障者</w:t>
            </w:r>
            <w:r>
              <w:rPr>
                <w:rFonts w:hint="eastAsia"/>
                <w:lang w:eastAsia="zh-CN"/>
              </w:rPr>
              <w:t>》</w:t>
            </w:r>
          </w:p>
        </w:tc>
        <w:tc>
          <w:tcPr>
            <w:tcW w:w="1304" w:type="dxa"/>
            <w:tcBorders>
              <w:top w:val="single" w:color="auto" w:sz="4" w:space="0"/>
              <w:left w:val="single" w:color="auto" w:sz="4" w:space="0"/>
              <w:bottom w:val="single" w:color="auto" w:sz="4" w:space="0"/>
              <w:right w:val="single" w:color="auto" w:sz="4" w:space="0"/>
            </w:tcBorders>
            <w:vAlign w:val="top"/>
          </w:tcPr>
          <w:p w14:paraId="7938681E">
            <w:pPr>
              <w:jc w:val="center"/>
            </w:pPr>
            <w:r>
              <w:rPr>
                <w:rFonts w:hint="eastAsia" w:cs="Times New Roman"/>
                <w:kern w:val="2"/>
                <w:sz w:val="21"/>
                <w:szCs w:val="24"/>
                <w:lang w:val="en-US" w:eastAsia="zh-CN" w:bidi="ar-SA"/>
              </w:rPr>
              <w:t>岳兴起、向嘉豪</w:t>
            </w:r>
          </w:p>
        </w:tc>
        <w:tc>
          <w:tcPr>
            <w:tcW w:w="2132" w:type="dxa"/>
            <w:tcBorders>
              <w:top w:val="single" w:color="auto" w:sz="4" w:space="0"/>
              <w:left w:val="single" w:color="auto" w:sz="4" w:space="0"/>
              <w:bottom w:val="single" w:color="auto" w:sz="4" w:space="0"/>
              <w:right w:val="single" w:color="auto" w:sz="4" w:space="0"/>
            </w:tcBorders>
            <w:vAlign w:val="top"/>
          </w:tcPr>
          <w:p w14:paraId="47AD58B7">
            <w:pPr>
              <w:jc w:val="center"/>
            </w:pPr>
            <w:r>
              <w:rPr>
                <w:rFonts w:hint="eastAsia"/>
              </w:rPr>
              <w:t>2</w:t>
            </w:r>
            <w:r>
              <w:t>02</w:t>
            </w:r>
            <w:r>
              <w:rPr>
                <w:rFonts w:hint="eastAsia"/>
                <w:lang w:val="en-US" w:eastAsia="zh-CN"/>
              </w:rPr>
              <w:t>4</w:t>
            </w:r>
            <w:r>
              <w:rPr>
                <w:rFonts w:hint="eastAsia"/>
              </w:rPr>
              <w:t>年</w:t>
            </w:r>
            <w:r>
              <w:rPr>
                <w:rFonts w:hint="eastAsia"/>
                <w:lang w:val="en-US" w:eastAsia="zh-CN"/>
              </w:rPr>
              <w:t>10</w:t>
            </w:r>
            <w:r>
              <w:rPr>
                <w:rFonts w:hint="eastAsia"/>
              </w:rPr>
              <w:t>月</w:t>
            </w:r>
            <w:r>
              <w:rPr>
                <w:rFonts w:hint="default"/>
              </w:rPr>
              <w:t>衡阳师范学院大学生创新大赛中荣获优秀奖</w:t>
            </w:r>
          </w:p>
        </w:tc>
        <w:tc>
          <w:tcPr>
            <w:tcW w:w="1507" w:type="dxa"/>
            <w:tcBorders>
              <w:top w:val="single" w:color="auto" w:sz="4" w:space="0"/>
              <w:left w:val="single" w:color="auto" w:sz="4" w:space="0"/>
              <w:bottom w:val="single" w:color="auto" w:sz="4" w:space="0"/>
              <w:right w:val="single" w:color="auto" w:sz="4" w:space="0"/>
            </w:tcBorders>
            <w:vAlign w:val="top"/>
          </w:tcPr>
          <w:p w14:paraId="346E8B97">
            <w:pPr>
              <w:jc w:val="center"/>
            </w:pPr>
            <w:r>
              <w:rPr>
                <w:rFonts w:hint="eastAsia"/>
              </w:rPr>
              <w:t>获奖</w:t>
            </w:r>
          </w:p>
        </w:tc>
      </w:tr>
      <w:tr w14:paraId="3AD3112A">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526F08"/>
        </w:tc>
        <w:tc>
          <w:tcPr>
            <w:tcW w:w="765" w:type="pct"/>
            <w:tcBorders>
              <w:top w:val="single" w:color="auto" w:sz="4" w:space="0"/>
              <w:left w:val="single" w:color="auto" w:sz="4" w:space="0"/>
              <w:bottom w:val="single" w:color="auto" w:sz="4" w:space="0"/>
              <w:right w:val="single" w:color="auto" w:sz="4" w:space="0"/>
            </w:tcBorders>
          </w:tcPr>
          <w:p w14:paraId="078E4125"/>
        </w:tc>
        <w:tc>
          <w:tcPr>
            <w:tcW w:w="1251" w:type="pct"/>
            <w:tcBorders>
              <w:top w:val="single" w:color="auto" w:sz="4" w:space="0"/>
              <w:left w:val="single" w:color="auto" w:sz="4" w:space="0"/>
              <w:bottom w:val="single" w:color="auto" w:sz="4" w:space="0"/>
              <w:right w:val="single" w:color="auto" w:sz="4" w:space="0"/>
            </w:tcBorders>
          </w:tcPr>
          <w:p w14:paraId="0FB8C571"/>
        </w:tc>
        <w:tc>
          <w:tcPr>
            <w:tcW w:w="884" w:type="pct"/>
            <w:tcBorders>
              <w:top w:val="single" w:color="auto" w:sz="4" w:space="0"/>
              <w:left w:val="single" w:color="auto" w:sz="4" w:space="0"/>
              <w:bottom w:val="single" w:color="auto" w:sz="4" w:space="0"/>
              <w:right w:val="single" w:color="auto" w:sz="4" w:space="0"/>
            </w:tcBorders>
          </w:tcPr>
          <w:p w14:paraId="1824643A"/>
        </w:tc>
      </w:tr>
      <w:tr w14:paraId="35C26556">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379B826C"/>
        </w:tc>
        <w:tc>
          <w:tcPr>
            <w:tcW w:w="765" w:type="pct"/>
            <w:tcBorders>
              <w:top w:val="single" w:color="auto" w:sz="4" w:space="0"/>
              <w:left w:val="single" w:color="auto" w:sz="4" w:space="0"/>
              <w:bottom w:val="single" w:color="auto" w:sz="4" w:space="0"/>
              <w:right w:val="single" w:color="auto" w:sz="4" w:space="0"/>
            </w:tcBorders>
          </w:tcPr>
          <w:p w14:paraId="5FA2B2E3"/>
        </w:tc>
        <w:tc>
          <w:tcPr>
            <w:tcW w:w="1251" w:type="pct"/>
            <w:tcBorders>
              <w:top w:val="single" w:color="auto" w:sz="4" w:space="0"/>
              <w:left w:val="single" w:color="auto" w:sz="4" w:space="0"/>
              <w:bottom w:val="single" w:color="auto" w:sz="4" w:space="0"/>
              <w:right w:val="single" w:color="auto" w:sz="4" w:space="0"/>
            </w:tcBorders>
          </w:tcPr>
          <w:p w14:paraId="5E3E8543"/>
        </w:tc>
        <w:tc>
          <w:tcPr>
            <w:tcW w:w="884" w:type="pct"/>
            <w:tcBorders>
              <w:top w:val="single" w:color="auto" w:sz="4" w:space="0"/>
              <w:left w:val="single" w:color="auto" w:sz="4" w:space="0"/>
              <w:bottom w:val="single" w:color="auto" w:sz="4" w:space="0"/>
              <w:right w:val="single" w:color="auto" w:sz="4" w:space="0"/>
            </w:tcBorders>
          </w:tcPr>
          <w:p w14:paraId="1143CDDD"/>
        </w:tc>
      </w:tr>
      <w:tr w14:paraId="4990218A">
        <w:trPr>
          <w:trHeight w:val="1111" w:hRule="atLeast"/>
          <w:jc w:val="center"/>
        </w:trPr>
        <w:tc>
          <w:tcPr>
            <w:tcW w:w="2098" w:type="pct"/>
            <w:tcBorders>
              <w:top w:val="single" w:color="auto" w:sz="4" w:space="0"/>
              <w:left w:val="single" w:color="auto" w:sz="4" w:space="0"/>
              <w:bottom w:val="single" w:color="auto" w:sz="4" w:space="0"/>
              <w:right w:val="single" w:color="auto" w:sz="4" w:space="0"/>
            </w:tcBorders>
          </w:tcPr>
          <w:p w14:paraId="7E831D13"/>
        </w:tc>
        <w:tc>
          <w:tcPr>
            <w:tcW w:w="765" w:type="pct"/>
            <w:tcBorders>
              <w:top w:val="single" w:color="auto" w:sz="4" w:space="0"/>
              <w:left w:val="single" w:color="auto" w:sz="4" w:space="0"/>
              <w:bottom w:val="single" w:color="auto" w:sz="4" w:space="0"/>
              <w:right w:val="single" w:color="auto" w:sz="4" w:space="0"/>
            </w:tcBorders>
          </w:tcPr>
          <w:p w14:paraId="30B12BF7"/>
        </w:tc>
        <w:tc>
          <w:tcPr>
            <w:tcW w:w="1251" w:type="pct"/>
            <w:tcBorders>
              <w:top w:val="single" w:color="auto" w:sz="4" w:space="0"/>
              <w:left w:val="single" w:color="auto" w:sz="4" w:space="0"/>
              <w:bottom w:val="single" w:color="auto" w:sz="4" w:space="0"/>
              <w:right w:val="single" w:color="auto" w:sz="4" w:space="0"/>
            </w:tcBorders>
          </w:tcPr>
          <w:p w14:paraId="6D906E81"/>
        </w:tc>
        <w:tc>
          <w:tcPr>
            <w:tcW w:w="884" w:type="pct"/>
            <w:tcBorders>
              <w:top w:val="single" w:color="auto" w:sz="4" w:space="0"/>
              <w:left w:val="single" w:color="auto" w:sz="4" w:space="0"/>
              <w:bottom w:val="single" w:color="auto" w:sz="4" w:space="0"/>
              <w:right w:val="single" w:color="auto" w:sz="4" w:space="0"/>
            </w:tcBorders>
          </w:tcPr>
          <w:p w14:paraId="1F10219A"/>
        </w:tc>
      </w:tr>
    </w:tbl>
    <w:p w14:paraId="7EC6464D">
      <w:pPr>
        <w:ind w:left="882" w:leftChars="170" w:hanging="525" w:hangingChars="250"/>
        <w:rPr>
          <w:rFonts w:hint="eastAsia" w:cs="宋体"/>
        </w:rPr>
      </w:pPr>
      <w:r>
        <w:rPr>
          <w:rFonts w:hint="eastAsia" w:cs="宋体"/>
        </w:rPr>
        <w:t>注：1.本表所列科学技术成果鉴定证明书、奖励证书、专利证书、论文（或著作封面、版权页及目录）复印件作为附件按顺序装订于本结题报告后。</w:t>
      </w:r>
    </w:p>
    <w:p w14:paraId="199B4397">
      <w:pPr>
        <w:rPr>
          <w:rFonts w:hint="eastAsia" w:cs="宋体"/>
          <w:sz w:val="18"/>
          <w:szCs w:val="18"/>
        </w:rPr>
      </w:pPr>
      <w:r>
        <w:rPr>
          <w:rFonts w:hint="eastAsia" w:cs="宋体"/>
        </w:rPr>
        <w:t xml:space="preserve">      2.若暂无研究成果公开发表，需作出说明，并撰写一份研究报告装订于本结题报告后。</w:t>
      </w:r>
    </w:p>
    <w:p w14:paraId="482ABF5F">
      <w:pPr>
        <w:rPr>
          <w:rFonts w:hint="eastAsia" w:cs="宋体"/>
          <w:sz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3"/>
      </w:tblGrid>
      <w:tr w14:paraId="5FA02404">
        <w:trPr>
          <w:trHeight w:val="454" w:hRule="atLeast"/>
        </w:trPr>
        <w:tc>
          <w:tcPr>
            <w:tcW w:w="9243" w:type="dxa"/>
            <w:tcBorders>
              <w:top w:val="single" w:color="auto" w:sz="4" w:space="0"/>
              <w:left w:val="single" w:color="auto" w:sz="4" w:space="0"/>
              <w:bottom w:val="single" w:color="FFFFFF" w:sz="4" w:space="0"/>
              <w:right w:val="single" w:color="auto" w:sz="4" w:space="0"/>
            </w:tcBorders>
            <w:vAlign w:val="center"/>
          </w:tcPr>
          <w:p w14:paraId="7D1E0607">
            <w:pPr>
              <w:rPr>
                <w:rFonts w:hint="eastAsia" w:eastAsia="黑体"/>
                <w:b/>
                <w:bCs/>
              </w:rPr>
            </w:pPr>
            <w:r>
              <w:rPr>
                <w:rFonts w:hint="eastAsia" w:eastAsia="黑体"/>
                <w:b/>
                <w:bCs/>
              </w:rPr>
              <w:t>指导教师意见：</w:t>
            </w:r>
          </w:p>
        </w:tc>
      </w:tr>
      <w:tr w14:paraId="7728B67D">
        <w:trPr>
          <w:trHeight w:val="4185" w:hRule="atLeast"/>
        </w:trPr>
        <w:tc>
          <w:tcPr>
            <w:tcW w:w="9243" w:type="dxa"/>
            <w:tcBorders>
              <w:top w:val="single" w:color="FFFFFF" w:sz="4" w:space="0"/>
              <w:left w:val="single" w:color="auto" w:sz="4" w:space="0"/>
              <w:bottom w:val="single" w:color="auto" w:sz="4" w:space="0"/>
              <w:right w:val="single" w:color="auto" w:sz="4" w:space="0"/>
            </w:tcBorders>
          </w:tcPr>
          <w:p w14:paraId="6F929A12">
            <w:pPr>
              <w:keepNext w:val="0"/>
              <w:keepLines w:val="0"/>
              <w:pageBreakBefore w:val="0"/>
              <w:widowControl w:val="0"/>
              <w:kinsoku/>
              <w:wordWrap w:val="0"/>
              <w:overflowPunct/>
              <w:topLinePunct w:val="0"/>
              <w:autoSpaceDE/>
              <w:autoSpaceDN/>
              <w:bidi w:val="0"/>
              <w:adjustRightInd/>
              <w:snapToGrid/>
              <w:spacing w:line="360" w:lineRule="auto"/>
              <w:ind w:firstLine="400" w:firstLineChars="200"/>
              <w:textAlignment w:val="auto"/>
              <w:rPr>
                <w:rFonts w:hint="eastAsia"/>
                <w:sz w:val="20"/>
                <w:szCs w:val="20"/>
              </w:rPr>
            </w:pPr>
            <w:r>
              <w:rPr>
                <w:rFonts w:hint="eastAsia"/>
                <w:sz w:val="20"/>
                <w:szCs w:val="20"/>
              </w:rPr>
              <w:t>项目自立项以来，项目成员与指导老师进行紧密地研究探讨，按照申请书的研究计划完成了项目研究，研究成果基本符合预期。</w:t>
            </w:r>
            <w:r>
              <w:rPr>
                <w:rFonts w:hint="default" w:cs="宋体"/>
                <w:lang w:val="en-US" w:eastAsia="zh-CN"/>
              </w:rPr>
              <w:t>对密码算法在受限环境下的高效实现问题</w:t>
            </w:r>
            <w:r>
              <w:rPr>
                <w:rFonts w:hint="eastAsia"/>
                <w:sz w:val="20"/>
                <w:szCs w:val="20"/>
              </w:rPr>
              <w:t>，</w:t>
            </w:r>
            <w:r>
              <w:rPr>
                <w:rFonts w:hint="default" w:cs="宋体"/>
                <w:lang w:val="en-US" w:eastAsia="zh-CN"/>
              </w:rPr>
              <w:t>从现代密码学工程和硬件加速的理论基础出发</w:t>
            </w:r>
            <w:r>
              <w:rPr>
                <w:rFonts w:hint="eastAsia" w:cs="宋体"/>
                <w:lang w:val="en-US" w:eastAsia="zh-CN"/>
              </w:rPr>
              <w:t>，</w:t>
            </w:r>
            <w:r>
              <w:rPr>
                <w:rFonts w:hint="default" w:cs="宋体"/>
                <w:lang w:val="en-US" w:eastAsia="zh-CN"/>
              </w:rPr>
              <w:t>构造适用于物联网、车联网等受限环境的密码算法优化实现方案</w:t>
            </w:r>
            <w:r>
              <w:rPr>
                <w:rFonts w:hint="eastAsia"/>
                <w:sz w:val="20"/>
                <w:szCs w:val="20"/>
              </w:rPr>
              <w:t>。项目研究坚持自主创新，且获得一定的成绩，撰写的</w:t>
            </w:r>
            <w:r>
              <w:rPr>
                <w:rFonts w:hint="eastAsia"/>
                <w:sz w:val="20"/>
                <w:szCs w:val="20"/>
                <w:lang w:val="en-US" w:eastAsia="zh-CN"/>
              </w:rPr>
              <w:t>两篇</w:t>
            </w:r>
            <w:r>
              <w:rPr>
                <w:rFonts w:hint="eastAsia"/>
                <w:sz w:val="20"/>
                <w:szCs w:val="20"/>
              </w:rPr>
              <w:t>论文已被期刊</w:t>
            </w:r>
            <w:r>
              <w:rPr>
                <w:rFonts w:hint="default"/>
              </w:rPr>
              <w:t>Microelectronics Journal</w:t>
            </w:r>
            <w:r>
              <w:rPr>
                <w:rFonts w:hint="eastAsia"/>
                <w:sz w:val="20"/>
                <w:szCs w:val="20"/>
                <w:lang w:eastAsia="zh-CN"/>
              </w:rPr>
              <w:t>（</w:t>
            </w:r>
            <w:r>
              <w:rPr>
                <w:rFonts w:hint="eastAsia"/>
                <w:sz w:val="20"/>
                <w:szCs w:val="20"/>
              </w:rPr>
              <w:t>SCI</w:t>
            </w:r>
            <w:r>
              <w:rPr>
                <w:rFonts w:hint="eastAsia"/>
                <w:sz w:val="20"/>
                <w:szCs w:val="20"/>
                <w:lang w:val="en-US" w:eastAsia="zh-CN"/>
              </w:rPr>
              <w:t>三</w:t>
            </w:r>
            <w:r>
              <w:rPr>
                <w:rFonts w:hint="eastAsia"/>
                <w:sz w:val="20"/>
                <w:szCs w:val="20"/>
              </w:rPr>
              <w:t>区</w:t>
            </w:r>
            <w:r>
              <w:rPr>
                <w:rFonts w:hint="eastAsia"/>
                <w:sz w:val="20"/>
                <w:szCs w:val="20"/>
                <w:lang w:eastAsia="zh-CN"/>
              </w:rPr>
              <w:t>）</w:t>
            </w:r>
            <w:r>
              <w:rPr>
                <w:rFonts w:hint="eastAsia"/>
                <w:sz w:val="20"/>
                <w:szCs w:val="20"/>
                <w:lang w:val="en-US" w:eastAsia="zh-CN"/>
              </w:rPr>
              <w:t xml:space="preserve">和 </w:t>
            </w:r>
            <w:r>
              <w:rPr>
                <w:rFonts w:hint="default"/>
              </w:rPr>
              <w:t>International Journal of Machine Learning and Cybernetics</w:t>
            </w:r>
            <w:r>
              <w:rPr>
                <w:rFonts w:hint="eastAsia"/>
                <w:lang w:eastAsia="zh-CN"/>
              </w:rPr>
              <w:t>（</w:t>
            </w:r>
            <w:r>
              <w:rPr>
                <w:rFonts w:hint="eastAsia"/>
                <w:lang w:val="en-US" w:eastAsia="zh-CN"/>
              </w:rPr>
              <w:t>SCI</w:t>
            </w:r>
            <w:r>
              <w:rPr>
                <w:rFonts w:hint="eastAsia"/>
                <w:sz w:val="20"/>
                <w:szCs w:val="20"/>
                <w:lang w:val="en-US" w:eastAsia="zh-CN"/>
              </w:rPr>
              <w:t>四区</w:t>
            </w:r>
            <w:r>
              <w:rPr>
                <w:rFonts w:hint="eastAsia"/>
                <w:lang w:eastAsia="zh-CN"/>
              </w:rPr>
              <w:t>）</w:t>
            </w:r>
            <w:r>
              <w:rPr>
                <w:rFonts w:hint="eastAsia"/>
                <w:sz w:val="20"/>
                <w:szCs w:val="20"/>
              </w:rPr>
              <w:t>录用发表，另</w:t>
            </w:r>
            <w:r>
              <w:rPr>
                <w:rFonts w:hint="eastAsia"/>
                <w:sz w:val="20"/>
                <w:szCs w:val="20"/>
                <w:lang w:val="en-US" w:eastAsia="zh-CN"/>
              </w:rPr>
              <w:t>两</w:t>
            </w:r>
            <w:r>
              <w:rPr>
                <w:rFonts w:hint="eastAsia"/>
                <w:sz w:val="20"/>
                <w:szCs w:val="20"/>
              </w:rPr>
              <w:t>篇已投稿至期刊</w:t>
            </w:r>
            <w:r>
              <w:rPr>
                <w:rFonts w:hint="eastAsia" w:cs="宋体"/>
              </w:rPr>
              <w:t>IEEE Transactions on Computers</w:t>
            </w:r>
            <w:r>
              <w:rPr>
                <w:rFonts w:hint="eastAsia" w:cs="宋体"/>
                <w:lang w:eastAsia="zh-CN"/>
              </w:rPr>
              <w:t>（</w:t>
            </w:r>
            <w:r>
              <w:rPr>
                <w:rFonts w:hint="eastAsia" w:cs="宋体"/>
                <w:lang w:val="en-US" w:eastAsia="zh-CN"/>
              </w:rPr>
              <w:t>CCF-A</w:t>
            </w:r>
            <w:r>
              <w:rPr>
                <w:rFonts w:hint="eastAsia" w:cs="宋体"/>
                <w:lang w:eastAsia="zh-CN"/>
              </w:rPr>
              <w:t>）</w:t>
            </w:r>
            <w:r>
              <w:rPr>
                <w:rFonts w:hint="eastAsia" w:cs="宋体"/>
                <w:lang w:val="en-US" w:eastAsia="zh-CN"/>
              </w:rPr>
              <w:t>和</w:t>
            </w:r>
            <w:r>
              <w:rPr>
                <w:rFonts w:hint="eastAsia" w:cs="宋体"/>
              </w:rPr>
              <w:t>IEEE Computer Architecture Letters</w:t>
            </w:r>
            <w:r>
              <w:rPr>
                <w:rFonts w:hint="eastAsia"/>
                <w:lang w:eastAsia="zh-CN"/>
              </w:rPr>
              <w:t>（</w:t>
            </w:r>
            <w:r>
              <w:rPr>
                <w:rFonts w:hint="eastAsia"/>
                <w:lang w:val="en-US" w:eastAsia="zh-CN"/>
              </w:rPr>
              <w:t>SCI</w:t>
            </w:r>
            <w:r>
              <w:rPr>
                <w:rFonts w:hint="eastAsia"/>
                <w:sz w:val="20"/>
                <w:szCs w:val="20"/>
                <w:lang w:val="en-US" w:eastAsia="zh-CN"/>
              </w:rPr>
              <w:t>四区</w:t>
            </w:r>
            <w:r>
              <w:rPr>
                <w:rFonts w:hint="eastAsia"/>
                <w:lang w:eastAsia="zh-CN"/>
              </w:rPr>
              <w:t>）</w:t>
            </w:r>
            <w:r>
              <w:rPr>
                <w:rFonts w:hint="eastAsia"/>
                <w:sz w:val="20"/>
                <w:szCs w:val="20"/>
              </w:rPr>
              <w:t xml:space="preserve">。同意结题！ </w:t>
            </w:r>
          </w:p>
          <w:p w14:paraId="4DFF80F2">
            <w:pPr>
              <w:tabs>
                <w:tab w:val="left" w:pos="8250"/>
              </w:tabs>
              <w:ind w:right="800" w:firstLine="6100" w:firstLineChars="3050"/>
              <w:rPr>
                <w:rFonts w:hint="eastAsia"/>
                <w:sz w:val="20"/>
                <w:szCs w:val="20"/>
              </w:rPr>
            </w:pPr>
          </w:p>
          <w:p w14:paraId="764BE96B">
            <w:pPr>
              <w:tabs>
                <w:tab w:val="left" w:pos="8250"/>
              </w:tabs>
              <w:ind w:right="800" w:firstLine="6100" w:firstLineChars="3050"/>
              <w:rPr>
                <w:rFonts w:hint="eastAsia"/>
                <w:sz w:val="20"/>
                <w:szCs w:val="20"/>
              </w:rPr>
            </w:pPr>
          </w:p>
          <w:p w14:paraId="1A88FB56">
            <w:pPr>
              <w:tabs>
                <w:tab w:val="left" w:pos="8250"/>
              </w:tabs>
              <w:ind w:right="800" w:firstLine="6100" w:firstLineChars="3050"/>
              <w:rPr>
                <w:rFonts w:hint="eastAsia"/>
                <w:sz w:val="20"/>
                <w:szCs w:val="20"/>
              </w:rPr>
            </w:pPr>
          </w:p>
          <w:p w14:paraId="3CAB0192">
            <w:pPr>
              <w:tabs>
                <w:tab w:val="left" w:pos="8250"/>
              </w:tabs>
              <w:ind w:right="800" w:firstLine="6100" w:firstLineChars="3050"/>
              <w:rPr>
                <w:rFonts w:hint="eastAsia"/>
                <w:sz w:val="20"/>
                <w:szCs w:val="20"/>
              </w:rPr>
            </w:pPr>
          </w:p>
          <w:p w14:paraId="4C50C3E6">
            <w:pPr>
              <w:tabs>
                <w:tab w:val="left" w:pos="8250"/>
              </w:tabs>
              <w:ind w:right="800" w:firstLine="6100" w:firstLineChars="3050"/>
              <w:rPr>
                <w:rFonts w:hint="eastAsia"/>
                <w:sz w:val="20"/>
                <w:szCs w:val="20"/>
              </w:rPr>
            </w:pPr>
          </w:p>
          <w:p w14:paraId="4914A864">
            <w:pPr>
              <w:tabs>
                <w:tab w:val="left" w:pos="8250"/>
              </w:tabs>
              <w:ind w:right="800" w:firstLine="6100" w:firstLineChars="3050"/>
              <w:rPr>
                <w:rFonts w:hint="eastAsia"/>
                <w:sz w:val="20"/>
                <w:szCs w:val="20"/>
              </w:rPr>
            </w:pPr>
          </w:p>
          <w:p w14:paraId="35F71423">
            <w:pPr>
              <w:tabs>
                <w:tab w:val="left" w:pos="8250"/>
              </w:tabs>
              <w:ind w:right="800" w:firstLine="6100" w:firstLineChars="3050"/>
              <w:rPr>
                <w:rFonts w:hint="eastAsia"/>
                <w:sz w:val="20"/>
                <w:szCs w:val="20"/>
              </w:rPr>
            </w:pPr>
            <w:r>
              <w:rPr>
                <w:rFonts w:hint="eastAsia"/>
                <w:sz w:val="20"/>
                <w:szCs w:val="20"/>
              </w:rPr>
              <w:t>指导教师（签章）：</w:t>
            </w:r>
          </w:p>
          <w:p w14:paraId="3CAC8139">
            <w:pPr>
              <w:tabs>
                <w:tab w:val="left" w:pos="8250"/>
              </w:tabs>
              <w:ind w:right="800" w:firstLine="6100" w:firstLineChars="3050"/>
              <w:rPr>
                <w:rFonts w:hint="eastAsia"/>
                <w:sz w:val="20"/>
                <w:szCs w:val="20"/>
              </w:rPr>
            </w:pPr>
          </w:p>
          <w:p w14:paraId="5352FF42">
            <w:pPr>
              <w:tabs>
                <w:tab w:val="left" w:pos="8250"/>
              </w:tabs>
              <w:ind w:right="800" w:firstLine="6700" w:firstLineChars="3350"/>
              <w:rPr>
                <w:rFonts w:hint="eastAsia"/>
                <w:sz w:val="20"/>
                <w:szCs w:val="20"/>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p>
        </w:tc>
      </w:tr>
      <w:tr w14:paraId="5D567E8E">
        <w:trPr>
          <w:trHeight w:val="4522" w:hRule="atLeast"/>
        </w:trPr>
        <w:tc>
          <w:tcPr>
            <w:tcW w:w="9243" w:type="dxa"/>
            <w:tcBorders>
              <w:top w:val="single" w:color="auto" w:sz="4" w:space="0"/>
              <w:left w:val="single" w:color="auto" w:sz="4" w:space="0"/>
              <w:bottom w:val="single" w:color="auto" w:sz="4" w:space="0"/>
              <w:right w:val="single" w:color="auto" w:sz="4" w:space="0"/>
            </w:tcBorders>
          </w:tcPr>
          <w:p w14:paraId="0B1C1524">
            <w:pPr>
              <w:wordWrap w:val="0"/>
              <w:rPr>
                <w:sz w:val="20"/>
                <w:szCs w:val="20"/>
              </w:rPr>
            </w:pPr>
            <w:r>
              <w:rPr>
                <w:rFonts w:hint="eastAsia" w:eastAsia="黑体"/>
                <w:b/>
                <w:bCs/>
              </w:rPr>
              <w:t>学校研究生教育管理部门意见：</w:t>
            </w:r>
          </w:p>
          <w:p w14:paraId="54FE013A">
            <w:pPr>
              <w:wordWrap w:val="0"/>
              <w:ind w:firstLine="4900" w:firstLineChars="2450"/>
              <w:rPr>
                <w:rFonts w:hint="eastAsia"/>
                <w:sz w:val="20"/>
                <w:szCs w:val="20"/>
              </w:rPr>
            </w:pPr>
          </w:p>
          <w:p w14:paraId="551602E2">
            <w:pPr>
              <w:wordWrap w:val="0"/>
              <w:ind w:firstLine="4900" w:firstLineChars="2450"/>
              <w:rPr>
                <w:rFonts w:hint="eastAsia"/>
                <w:sz w:val="20"/>
                <w:szCs w:val="20"/>
              </w:rPr>
            </w:pPr>
          </w:p>
          <w:p w14:paraId="26850589">
            <w:pPr>
              <w:wordWrap w:val="0"/>
              <w:rPr>
                <w:rFonts w:hint="eastAsia"/>
                <w:sz w:val="20"/>
                <w:szCs w:val="20"/>
              </w:rPr>
            </w:pPr>
          </w:p>
          <w:p w14:paraId="05F8CE26">
            <w:pPr>
              <w:wordWrap w:val="0"/>
              <w:rPr>
                <w:rFonts w:hint="eastAsia"/>
                <w:sz w:val="20"/>
                <w:szCs w:val="20"/>
              </w:rPr>
            </w:pPr>
          </w:p>
          <w:p w14:paraId="0E794BA6">
            <w:pPr>
              <w:wordWrap w:val="0"/>
              <w:rPr>
                <w:rFonts w:hint="eastAsia"/>
                <w:sz w:val="20"/>
                <w:szCs w:val="20"/>
              </w:rPr>
            </w:pPr>
          </w:p>
          <w:p w14:paraId="2A27999A">
            <w:pPr>
              <w:wordWrap w:val="0"/>
              <w:rPr>
                <w:rFonts w:hint="eastAsia"/>
                <w:sz w:val="20"/>
                <w:szCs w:val="20"/>
              </w:rPr>
            </w:pPr>
          </w:p>
          <w:p w14:paraId="1FE7ACEB">
            <w:pPr>
              <w:wordWrap w:val="0"/>
              <w:rPr>
                <w:rFonts w:hint="eastAsia"/>
                <w:sz w:val="20"/>
                <w:szCs w:val="20"/>
              </w:rPr>
            </w:pPr>
          </w:p>
          <w:p w14:paraId="2431725E">
            <w:pPr>
              <w:wordWrap w:val="0"/>
              <w:rPr>
                <w:rFonts w:hint="eastAsia"/>
                <w:sz w:val="20"/>
                <w:szCs w:val="20"/>
              </w:rPr>
            </w:pPr>
          </w:p>
          <w:p w14:paraId="7817B5AE">
            <w:pPr>
              <w:wordWrap w:val="0"/>
              <w:rPr>
                <w:rFonts w:hint="eastAsia"/>
                <w:sz w:val="20"/>
                <w:szCs w:val="20"/>
              </w:rPr>
            </w:pPr>
          </w:p>
          <w:p w14:paraId="379C13FD">
            <w:pPr>
              <w:wordWrap w:val="0"/>
              <w:rPr>
                <w:rFonts w:hint="eastAsia"/>
                <w:sz w:val="20"/>
                <w:szCs w:val="20"/>
              </w:rPr>
            </w:pPr>
          </w:p>
          <w:p w14:paraId="011A7214">
            <w:pPr>
              <w:wordWrap w:val="0"/>
              <w:rPr>
                <w:rFonts w:hint="eastAsia"/>
                <w:sz w:val="20"/>
                <w:szCs w:val="20"/>
              </w:rPr>
            </w:pPr>
          </w:p>
          <w:p w14:paraId="5F31557C">
            <w:pPr>
              <w:wordWrap w:val="0"/>
              <w:rPr>
                <w:rFonts w:hint="eastAsia"/>
                <w:sz w:val="20"/>
                <w:szCs w:val="20"/>
              </w:rPr>
            </w:pPr>
          </w:p>
          <w:p w14:paraId="3705525E">
            <w:pPr>
              <w:wordWrap w:val="0"/>
              <w:ind w:firstLine="4900" w:firstLineChars="2450"/>
              <w:rPr>
                <w:rFonts w:hint="eastAsia"/>
                <w:sz w:val="20"/>
                <w:szCs w:val="20"/>
              </w:rPr>
            </w:pPr>
          </w:p>
          <w:p w14:paraId="4AC8F564">
            <w:pPr>
              <w:wordWrap w:val="0"/>
              <w:ind w:firstLine="4900" w:firstLineChars="2450"/>
              <w:rPr>
                <w:rFonts w:hint="eastAsia"/>
                <w:sz w:val="20"/>
                <w:szCs w:val="20"/>
              </w:rPr>
            </w:pPr>
          </w:p>
          <w:p w14:paraId="797C81E8">
            <w:pPr>
              <w:wordWrap w:val="0"/>
              <w:ind w:firstLine="4900" w:firstLineChars="2450"/>
              <w:rPr>
                <w:rFonts w:hint="eastAsia"/>
                <w:sz w:val="20"/>
                <w:szCs w:val="20"/>
              </w:rPr>
            </w:pPr>
          </w:p>
          <w:p w14:paraId="356A046B">
            <w:pPr>
              <w:wordWrap w:val="0"/>
              <w:ind w:firstLine="4900" w:firstLineChars="2450"/>
              <w:rPr>
                <w:sz w:val="20"/>
                <w:szCs w:val="20"/>
              </w:rPr>
            </w:pPr>
            <w:r>
              <w:rPr>
                <w:sz w:val="20"/>
                <w:szCs w:val="20"/>
              </w:rPr>
              <w:t xml:space="preserve">   </w:t>
            </w:r>
            <w:r>
              <w:rPr>
                <w:rFonts w:hint="eastAsia"/>
                <w:sz w:val="20"/>
                <w:szCs w:val="20"/>
              </w:rPr>
              <w:t>负责人：</w:t>
            </w:r>
            <w:r>
              <w:rPr>
                <w:sz w:val="20"/>
                <w:szCs w:val="20"/>
              </w:rPr>
              <w:t xml:space="preserve">            </w:t>
            </w:r>
            <w:r>
              <w:rPr>
                <w:rFonts w:hint="eastAsia"/>
                <w:sz w:val="20"/>
                <w:szCs w:val="20"/>
              </w:rPr>
              <w:t>（单位公章）</w:t>
            </w:r>
          </w:p>
          <w:p w14:paraId="0D80A888">
            <w:pPr>
              <w:wordWrap w:val="0"/>
              <w:jc w:val="right"/>
              <w:rPr>
                <w:sz w:val="20"/>
                <w:szCs w:val="20"/>
              </w:rPr>
            </w:pPr>
          </w:p>
          <w:p w14:paraId="001C4C6B">
            <w:pPr>
              <w:ind w:right="400" w:firstLine="6600" w:firstLineChars="3300"/>
              <w:rPr>
                <w:rFonts w:hint="eastAsia"/>
                <w:sz w:val="20"/>
                <w:szCs w:val="20"/>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p>
        </w:tc>
      </w:tr>
      <w:tr w14:paraId="3605FF83">
        <w:trPr>
          <w:trHeight w:val="4842" w:hRule="exact"/>
        </w:trPr>
        <w:tc>
          <w:tcPr>
            <w:tcW w:w="9243" w:type="dxa"/>
            <w:tcBorders>
              <w:top w:val="single" w:color="auto" w:sz="4" w:space="0"/>
              <w:left w:val="single" w:color="auto" w:sz="4" w:space="0"/>
              <w:bottom w:val="single" w:color="auto" w:sz="4" w:space="0"/>
              <w:right w:val="single" w:color="auto" w:sz="4" w:space="0"/>
            </w:tcBorders>
          </w:tcPr>
          <w:p w14:paraId="281BCFF0">
            <w:pPr>
              <w:wordWrap w:val="0"/>
              <w:rPr>
                <w:rFonts w:hint="eastAsia" w:eastAsia="黑体"/>
                <w:b/>
                <w:bCs/>
              </w:rPr>
            </w:pPr>
            <w:r>
              <w:rPr>
                <w:rFonts w:hint="eastAsia" w:eastAsia="黑体"/>
                <w:b/>
                <w:bCs/>
              </w:rPr>
              <w:t>省教育厅意见：</w:t>
            </w:r>
          </w:p>
          <w:p w14:paraId="40025BC3">
            <w:pPr>
              <w:wordWrap w:val="0"/>
              <w:rPr>
                <w:rFonts w:hint="eastAsia" w:eastAsia="黑体"/>
                <w:b/>
                <w:bCs/>
              </w:rPr>
            </w:pPr>
          </w:p>
          <w:p w14:paraId="1C9F9D09">
            <w:pPr>
              <w:wordWrap w:val="0"/>
              <w:rPr>
                <w:rFonts w:hint="eastAsia" w:eastAsia="黑体"/>
                <w:b/>
                <w:bCs/>
              </w:rPr>
            </w:pPr>
          </w:p>
          <w:p w14:paraId="00E7E953">
            <w:pPr>
              <w:wordWrap w:val="0"/>
              <w:rPr>
                <w:rFonts w:hint="eastAsia" w:eastAsia="黑体"/>
                <w:b/>
                <w:bCs/>
              </w:rPr>
            </w:pPr>
          </w:p>
          <w:p w14:paraId="58D3BF8D">
            <w:pPr>
              <w:wordWrap w:val="0"/>
              <w:rPr>
                <w:rFonts w:hint="eastAsia" w:eastAsia="黑体"/>
                <w:b/>
                <w:bCs/>
              </w:rPr>
            </w:pPr>
          </w:p>
          <w:p w14:paraId="3B9EC2FE">
            <w:pPr>
              <w:wordWrap w:val="0"/>
              <w:rPr>
                <w:rFonts w:hint="eastAsia" w:eastAsia="黑体"/>
                <w:b/>
                <w:bCs/>
              </w:rPr>
            </w:pPr>
          </w:p>
          <w:p w14:paraId="569A57E3">
            <w:pPr>
              <w:wordWrap w:val="0"/>
              <w:rPr>
                <w:rFonts w:hint="eastAsia" w:eastAsia="黑体"/>
                <w:b/>
                <w:bCs/>
              </w:rPr>
            </w:pPr>
          </w:p>
          <w:p w14:paraId="56DDBD8B">
            <w:pPr>
              <w:wordWrap w:val="0"/>
              <w:rPr>
                <w:rFonts w:hint="eastAsia" w:eastAsia="黑体"/>
                <w:b/>
                <w:bCs/>
              </w:rPr>
            </w:pPr>
          </w:p>
          <w:p w14:paraId="1D599D0D">
            <w:pPr>
              <w:wordWrap w:val="0"/>
              <w:rPr>
                <w:rFonts w:hint="eastAsia" w:eastAsia="黑体"/>
                <w:b/>
                <w:bCs/>
              </w:rPr>
            </w:pPr>
          </w:p>
          <w:p w14:paraId="79FE1D71">
            <w:pPr>
              <w:wordWrap w:val="0"/>
              <w:rPr>
                <w:rFonts w:hint="eastAsia"/>
                <w:sz w:val="20"/>
                <w:szCs w:val="20"/>
              </w:rPr>
            </w:pPr>
          </w:p>
          <w:p w14:paraId="76FF9E4B">
            <w:pPr>
              <w:wordWrap w:val="0"/>
              <w:rPr>
                <w:rFonts w:hint="eastAsia"/>
                <w:sz w:val="20"/>
                <w:szCs w:val="20"/>
              </w:rPr>
            </w:pPr>
          </w:p>
          <w:p w14:paraId="1C3D3093">
            <w:pPr>
              <w:wordWrap w:val="0"/>
              <w:ind w:firstLine="4900" w:firstLineChars="2450"/>
              <w:rPr>
                <w:sz w:val="20"/>
                <w:szCs w:val="20"/>
              </w:rPr>
            </w:pPr>
          </w:p>
          <w:p w14:paraId="66057E0C">
            <w:pPr>
              <w:wordWrap w:val="0"/>
              <w:ind w:firstLine="4800" w:firstLineChars="2400"/>
              <w:rPr>
                <w:rFonts w:hint="eastAsia"/>
                <w:sz w:val="20"/>
                <w:szCs w:val="20"/>
              </w:rPr>
            </w:pPr>
            <w:r>
              <w:rPr>
                <w:sz w:val="20"/>
                <w:szCs w:val="20"/>
              </w:rPr>
              <w:t xml:space="preserve"> </w:t>
            </w:r>
            <w:r>
              <w:rPr>
                <w:rFonts w:hint="eastAsia"/>
                <w:sz w:val="20"/>
                <w:szCs w:val="20"/>
              </w:rPr>
              <w:t>负责人：</w:t>
            </w:r>
            <w:r>
              <w:rPr>
                <w:sz w:val="20"/>
                <w:szCs w:val="20"/>
              </w:rPr>
              <w:t xml:space="preserve">            </w:t>
            </w:r>
            <w:r>
              <w:rPr>
                <w:rFonts w:hint="eastAsia"/>
                <w:sz w:val="20"/>
                <w:szCs w:val="20"/>
              </w:rPr>
              <w:t>（单位公章）</w:t>
            </w:r>
          </w:p>
          <w:p w14:paraId="6D1C52DC">
            <w:pPr>
              <w:wordWrap w:val="0"/>
              <w:ind w:firstLine="4900" w:firstLineChars="2450"/>
              <w:rPr>
                <w:rFonts w:hint="eastAsia"/>
                <w:sz w:val="20"/>
                <w:szCs w:val="20"/>
              </w:rPr>
            </w:pPr>
          </w:p>
          <w:p w14:paraId="14A57289">
            <w:pPr>
              <w:wordWrap w:val="0"/>
              <w:ind w:firstLine="4900" w:firstLineChars="2450"/>
              <w:rPr>
                <w:rFonts w:hint="eastAsia" w:eastAsia="宋体"/>
                <w:sz w:val="20"/>
                <w:szCs w:val="20"/>
                <w:lang w:val="en-US" w:eastAsia="zh-CN"/>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rFonts w:hint="eastAsia"/>
                <w:sz w:val="20"/>
                <w:szCs w:val="20"/>
                <w:lang w:val="en-US" w:eastAsia="zh-CN"/>
              </w:rPr>
              <w:t xml:space="preserve"> </w:t>
            </w:r>
          </w:p>
          <w:p w14:paraId="1D15F9FE">
            <w:pPr>
              <w:wordWrap w:val="0"/>
              <w:rPr>
                <w:rFonts w:hint="eastAsia"/>
                <w:sz w:val="20"/>
                <w:szCs w:val="20"/>
              </w:rPr>
            </w:pPr>
          </w:p>
          <w:p w14:paraId="3ABD24D4">
            <w:pPr>
              <w:wordWrap w:val="0"/>
              <w:rPr>
                <w:rFonts w:hint="eastAsia"/>
                <w:sz w:val="20"/>
                <w:szCs w:val="20"/>
              </w:rPr>
            </w:pPr>
          </w:p>
          <w:p w14:paraId="1EA2730F">
            <w:pPr>
              <w:wordWrap w:val="0"/>
              <w:rPr>
                <w:rFonts w:hint="eastAsia"/>
                <w:sz w:val="20"/>
                <w:szCs w:val="20"/>
              </w:rPr>
            </w:pPr>
          </w:p>
          <w:p w14:paraId="3D798428">
            <w:pPr>
              <w:wordWrap w:val="0"/>
              <w:rPr>
                <w:rFonts w:hint="eastAsia"/>
                <w:sz w:val="20"/>
                <w:szCs w:val="20"/>
              </w:rPr>
            </w:pPr>
          </w:p>
          <w:p w14:paraId="5D441BC2">
            <w:pPr>
              <w:wordWrap w:val="0"/>
              <w:rPr>
                <w:rFonts w:hint="eastAsia"/>
                <w:sz w:val="20"/>
                <w:szCs w:val="20"/>
              </w:rPr>
            </w:pPr>
          </w:p>
          <w:p w14:paraId="29507987">
            <w:pPr>
              <w:wordWrap w:val="0"/>
              <w:ind w:firstLine="4900" w:firstLineChars="2450"/>
              <w:rPr>
                <w:sz w:val="20"/>
                <w:szCs w:val="20"/>
              </w:rPr>
            </w:pPr>
            <w:r>
              <w:rPr>
                <w:rFonts w:hint="eastAsia"/>
                <w:sz w:val="20"/>
                <w:szCs w:val="20"/>
              </w:rPr>
              <w:t>负责人：</w:t>
            </w:r>
            <w:r>
              <w:rPr>
                <w:sz w:val="20"/>
                <w:szCs w:val="20"/>
              </w:rPr>
              <w:t xml:space="preserve">            </w:t>
            </w:r>
            <w:r>
              <w:rPr>
                <w:rFonts w:hint="eastAsia"/>
                <w:sz w:val="20"/>
                <w:szCs w:val="20"/>
              </w:rPr>
              <w:t>（单位公章）</w:t>
            </w:r>
          </w:p>
          <w:p w14:paraId="75E6A438">
            <w:pPr>
              <w:rPr>
                <w:sz w:val="20"/>
                <w:szCs w:val="20"/>
              </w:rPr>
            </w:pPr>
          </w:p>
          <w:p w14:paraId="561821B7">
            <w:pPr>
              <w:tabs>
                <w:tab w:val="left" w:pos="8190"/>
                <w:tab w:val="left" w:pos="8400"/>
              </w:tabs>
              <w:wordWrap w:val="0"/>
              <w:ind w:right="600"/>
              <w:jc w:val="right"/>
              <w:rPr>
                <w:rFonts w:eastAsia="黑体"/>
                <w:b/>
                <w:bCs/>
              </w:rPr>
            </w:pP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 xml:space="preserve"> </w:t>
            </w:r>
            <w:r>
              <w:rPr>
                <w:sz w:val="20"/>
                <w:szCs w:val="20"/>
              </w:rPr>
              <w:t xml:space="preserve">  </w:t>
            </w:r>
            <w:r>
              <w:rPr>
                <w:rFonts w:hint="eastAsia"/>
                <w:sz w:val="20"/>
                <w:szCs w:val="20"/>
              </w:rPr>
              <w:t>日</w:t>
            </w:r>
            <w:r>
              <w:rPr>
                <w:sz w:val="20"/>
                <w:szCs w:val="20"/>
              </w:rPr>
              <w:t xml:space="preserve"> </w:t>
            </w:r>
          </w:p>
          <w:p w14:paraId="17DDABFB">
            <w:pPr>
              <w:wordWrap w:val="0"/>
              <w:spacing w:before="1248"/>
              <w:jc w:val="right"/>
              <w:rPr>
                <w:sz w:val="20"/>
                <w:szCs w:val="20"/>
              </w:rPr>
            </w:pPr>
          </w:p>
          <w:p w14:paraId="654ED858">
            <w:pPr>
              <w:wordWrap w:val="0"/>
              <w:spacing w:before="1248"/>
              <w:jc w:val="right"/>
              <w:rPr>
                <w:sz w:val="20"/>
                <w:szCs w:val="20"/>
              </w:rPr>
            </w:pPr>
          </w:p>
          <w:p w14:paraId="5416CDA0">
            <w:pPr>
              <w:spacing w:before="1248"/>
              <w:ind w:right="400" w:firstLine="5300" w:firstLineChars="2650"/>
              <w:rPr>
                <w:sz w:val="20"/>
                <w:szCs w:val="20"/>
              </w:rPr>
            </w:pPr>
            <w:r>
              <w:rPr>
                <w:rFonts w:hint="eastAsia"/>
                <w:sz w:val="20"/>
                <w:szCs w:val="20"/>
              </w:rPr>
              <w:t>负责人（签章）：</w:t>
            </w:r>
            <w:r>
              <w:rPr>
                <w:sz w:val="20"/>
                <w:szCs w:val="20"/>
              </w:rPr>
              <w:t xml:space="preserve">         </w:t>
            </w:r>
          </w:p>
          <w:p w14:paraId="45606D41">
            <w:pPr>
              <w:wordWrap w:val="0"/>
              <w:spacing w:before="312"/>
              <w:ind w:right="400"/>
              <w:jc w:val="center"/>
            </w:pPr>
            <w:r>
              <w:rPr>
                <w:sz w:val="20"/>
                <w:szCs w:val="20"/>
              </w:rPr>
              <w:t xml:space="preserve">                                                                  </w:t>
            </w:r>
            <w:r>
              <w:rPr>
                <w:rFonts w:hint="eastAsia"/>
                <w:sz w:val="20"/>
                <w:szCs w:val="20"/>
              </w:rPr>
              <w:t>年</w:t>
            </w:r>
            <w:r>
              <w:rPr>
                <w:sz w:val="20"/>
                <w:szCs w:val="20"/>
              </w:rPr>
              <w:t xml:space="preserve">        </w:t>
            </w:r>
            <w:r>
              <w:rPr>
                <w:rFonts w:hint="eastAsia"/>
                <w:sz w:val="20"/>
                <w:szCs w:val="20"/>
              </w:rPr>
              <w:t>月</w:t>
            </w:r>
            <w:r>
              <w:rPr>
                <w:sz w:val="20"/>
                <w:szCs w:val="20"/>
              </w:rPr>
              <w:t xml:space="preserve">      </w:t>
            </w:r>
            <w:r>
              <w:rPr>
                <w:rFonts w:hint="eastAsia"/>
                <w:sz w:val="20"/>
                <w:szCs w:val="20"/>
              </w:rPr>
              <w:t>日</w:t>
            </w:r>
            <w:r>
              <w:rPr>
                <w:sz w:val="20"/>
                <w:szCs w:val="20"/>
              </w:rPr>
              <w:t xml:space="preserve"> </w:t>
            </w:r>
            <w:r>
              <w:t xml:space="preserve">   </w:t>
            </w:r>
          </w:p>
        </w:tc>
      </w:tr>
    </w:tbl>
    <w:p w14:paraId="549F6DEB"/>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DFC12B"/>
    <w:multiLevelType w:val="singleLevel"/>
    <w:tmpl w:val="C8DFC12B"/>
    <w:lvl w:ilvl="0" w:tentative="0">
      <w:start w:val="3"/>
      <w:numFmt w:val="chineseCounting"/>
      <w:suff w:val="nothing"/>
      <w:lvlText w:val="第%1，"/>
      <w:lvlJc w:val="left"/>
      <w:rPr>
        <w:rFonts w:hint="eastAsia"/>
      </w:rPr>
    </w:lvl>
  </w:abstractNum>
  <w:abstractNum w:abstractNumId="1">
    <w:nsid w:val="2BE24622"/>
    <w:multiLevelType w:val="singleLevel"/>
    <w:tmpl w:val="2BE24622"/>
    <w:lvl w:ilvl="0" w:tentative="0">
      <w:start w:val="1"/>
      <w:numFmt w:val="decimal"/>
      <w:lvlText w:val="%1·"/>
      <w:legacy w:legacy="1" w:legacySpace="0" w:legacyIndent="372"/>
      <w:lvlJc w:val="left"/>
      <w:pPr>
        <w:ind w:left="732" w:hanging="372"/>
      </w:pPr>
      <w:rPr>
        <w:rFonts w:hint="default" w:ascii="Times New Roman" w:hAnsi="Times New Roman" w:cs="Times New Roman"/>
        <w:b w:val="0"/>
        <w:bCs w:val="0"/>
        <w:i w:val="0"/>
        <w:iCs w:val="0"/>
        <w:sz w:val="21"/>
        <w:szCs w:val="21"/>
        <w:u w:val="none"/>
      </w:rPr>
    </w:lvl>
  </w:abstractNum>
  <w:abstractNum w:abstractNumId="2">
    <w:nsid w:val="2EBEC578"/>
    <w:multiLevelType w:val="singleLevel"/>
    <w:tmpl w:val="2EBEC578"/>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3NDhmMTUyZWI1MzEzOTAxZDk1MGE5YzFiODliYWQifQ=="/>
  </w:docVars>
  <w:rsids>
    <w:rsidRoot w:val="00D32156"/>
    <w:rsid w:val="004B4CF5"/>
    <w:rsid w:val="00701E7D"/>
    <w:rsid w:val="00BB6F32"/>
    <w:rsid w:val="00D32156"/>
    <w:rsid w:val="18DF9920"/>
    <w:rsid w:val="251B2BA7"/>
    <w:rsid w:val="3D2A2747"/>
    <w:rsid w:val="3F7CF034"/>
    <w:rsid w:val="3FFF2BD6"/>
    <w:rsid w:val="3FFF8175"/>
    <w:rsid w:val="4F7EE477"/>
    <w:rsid w:val="533DC18E"/>
    <w:rsid w:val="54C03902"/>
    <w:rsid w:val="558F1F10"/>
    <w:rsid w:val="56FB2274"/>
    <w:rsid w:val="5DEE9D36"/>
    <w:rsid w:val="61FF0463"/>
    <w:rsid w:val="655371CF"/>
    <w:rsid w:val="66BFDE5F"/>
    <w:rsid w:val="6BE1EF11"/>
    <w:rsid w:val="6DFBCB4D"/>
    <w:rsid w:val="6EF9B20F"/>
    <w:rsid w:val="6F3F05C9"/>
    <w:rsid w:val="6FBB9F5F"/>
    <w:rsid w:val="7B75D165"/>
    <w:rsid w:val="7BFBD90D"/>
    <w:rsid w:val="7D3F3DC8"/>
    <w:rsid w:val="7D7DCFB7"/>
    <w:rsid w:val="7DDFAB8A"/>
    <w:rsid w:val="7DFF5A29"/>
    <w:rsid w:val="7ED66C1F"/>
    <w:rsid w:val="7EDFC918"/>
    <w:rsid w:val="7EFBBDD6"/>
    <w:rsid w:val="7FBF5DCC"/>
    <w:rsid w:val="7FDF7DF8"/>
    <w:rsid w:val="A7B79E3C"/>
    <w:rsid w:val="B2DF5D80"/>
    <w:rsid w:val="BBFA44F7"/>
    <w:rsid w:val="BFFDCA3A"/>
    <w:rsid w:val="D7891271"/>
    <w:rsid w:val="D7EF5716"/>
    <w:rsid w:val="DAFE4D89"/>
    <w:rsid w:val="E3FD79FD"/>
    <w:rsid w:val="E7BEA4AA"/>
    <w:rsid w:val="E9FF7D99"/>
    <w:rsid w:val="ED5A7DA9"/>
    <w:rsid w:val="EEEF4D62"/>
    <w:rsid w:val="EF7D8256"/>
    <w:rsid w:val="EF912393"/>
    <w:rsid w:val="F1FB68C7"/>
    <w:rsid w:val="F65E99A8"/>
    <w:rsid w:val="F6DF5BB9"/>
    <w:rsid w:val="F7D2B133"/>
    <w:rsid w:val="F7DBB7AC"/>
    <w:rsid w:val="FBA94310"/>
    <w:rsid w:val="FD4F08EB"/>
    <w:rsid w:val="FDF7145C"/>
    <w:rsid w:val="FE4E7E39"/>
    <w:rsid w:val="FEED493F"/>
    <w:rsid w:val="FF5E71E3"/>
    <w:rsid w:val="FF7C7224"/>
    <w:rsid w:val="FFEF6D74"/>
    <w:rsid w:val="FFFFBE8E"/>
    <w:rsid w:val="FFFFD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3"/>
    <w:semiHidden/>
    <w:unhideWhenUsed/>
    <w:uiPriority w:val="99"/>
    <w:rPr>
      <w:color w:val="0000FF"/>
      <w:u w:val="single"/>
    </w:rPr>
  </w:style>
  <w:style w:type="character" w:customStyle="1" w:styleId="8">
    <w:name w:val="页眉 字符"/>
    <w:basedOn w:val="3"/>
    <w:link w:val="6"/>
    <w:qFormat/>
    <w:uiPriority w:val="99"/>
    <w:rPr>
      <w:sz w:val="18"/>
      <w:szCs w:val="18"/>
    </w:rPr>
  </w:style>
  <w:style w:type="character" w:customStyle="1" w:styleId="9">
    <w:name w:val="页脚 字符"/>
    <w:basedOn w:val="3"/>
    <w:link w:val="5"/>
    <w:qFormat/>
    <w:uiPriority w:val="99"/>
    <w:rPr>
      <w:sz w:val="18"/>
      <w:szCs w:val="18"/>
    </w:rPr>
  </w:style>
  <w:style w:type="character" w:customStyle="1" w:styleId="10">
    <w:name w:val="标题 1 字符"/>
    <w:basedOn w:val="3"/>
    <w:link w:val="2"/>
    <w:qFormat/>
    <w:uiPriority w:val="0"/>
    <w:rPr>
      <w:rFonts w:ascii="Times New Roman" w:hAnsi="Times New Roman" w:eastAsia="宋体" w:cs="Times New Roman"/>
      <w:b/>
      <w:bCs/>
      <w:kern w:val="44"/>
      <w:sz w:val="44"/>
      <w:szCs w:val="44"/>
    </w:rPr>
  </w:style>
  <w:style w:type="paragraph" w:styleId="11">
    <w:name w:val="No Spacing"/>
    <w:qFormat/>
    <w:uiPriority w:val="1"/>
    <w:pPr>
      <w:widowControl w:val="0"/>
      <w:ind w:firstLine="200" w:firstLineChars="200"/>
      <w:jc w:val="both"/>
    </w:pPr>
    <w:rPr>
      <w:rFonts w:ascii="Times New Roman" w:hAnsi="Times New Roman" w:eastAsia="Times New Roman"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572</Words>
  <Characters>578</Characters>
  <Lines>7</Lines>
  <Paragraphs>2</Paragraphs>
  <TotalTime>0</TotalTime>
  <ScaleCrop>false</ScaleCrop>
  <LinksUpToDate>false</LinksUpToDate>
  <CharactersWithSpaces>909</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2023-03-25T09:01:00Z</dcterms:created>
  <dc:creator>yjsy</dc:creator>
  <cp:lastModifiedBy>向嘉豪</cp:lastModifiedBy>
  <dcterms:modified xsi:type="dcterms:W3CDTF">2025-07-28T17:19:15Z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08F3FDD93A7642E2BB8D3537443A7DE0_12</vt:lpwstr>
  </property>
  <property fmtid="{D5CDD505-2E9C-101B-9397-08002B2CF9AE}" pid="4" name="KSOTemplateDocerSaveRecord">
    <vt:lpwstr>eyJoZGlkIjoiNDc4ZmI4YWVkNDViOTcxMmViNDZhOTY5ZjlkOGQ1ZWQiLCJ1c2VySWQiOiI0NDg4NDUyMTEifQ==</vt:lpwstr>
  </property>
</Properties>
</file>