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CDD96" w14:textId="77777777" w:rsidR="0090100E" w:rsidRPr="0090100E" w:rsidRDefault="0090100E" w:rsidP="2BD4DDC8">
      <w:pPr>
        <w:jc w:val="both"/>
        <w:rPr>
          <w:rFonts w:ascii="Times New Roman" w:hAnsi="Times New Roman" w:cs="Times New Roman"/>
          <w:b/>
          <w:bCs/>
          <w:lang w:val="en"/>
        </w:rPr>
      </w:pPr>
      <w:r w:rsidRPr="0090100E">
        <w:rPr>
          <w:rFonts w:ascii="Times New Roman" w:hAnsi="Times New Roman" w:cs="Times New Roman"/>
          <w:b/>
          <w:bCs/>
          <w:lang w:val="en"/>
        </w:rPr>
        <w:t>Estimating PFAS Accumulation in Crops and Cattle: A Modeling Approach for Exposure Assessment</w:t>
      </w:r>
    </w:p>
    <w:p w14:paraId="02429293" w14:textId="187D0BFC" w:rsidR="00B95C9F" w:rsidRDefault="086AA618" w:rsidP="6B154529">
      <w:pPr>
        <w:jc w:val="both"/>
        <w:rPr>
          <w:rFonts w:ascii="Times New Roman" w:eastAsia="DengXian" w:hAnsi="Times New Roman" w:cs="Times New Roman"/>
          <w:color w:val="000000" w:themeColor="text1"/>
          <w:vertAlign w:val="superscript"/>
        </w:rPr>
      </w:pPr>
      <w:proofErr w:type="spellStart"/>
      <w:r w:rsidRPr="6B154529">
        <w:rPr>
          <w:rFonts w:ascii="Times New Roman" w:hAnsi="Times New Roman" w:cs="Times New Roman"/>
          <w:lang w:val="en"/>
        </w:rPr>
        <w:t>Jiahe</w:t>
      </w:r>
      <w:proofErr w:type="spellEnd"/>
      <w:r w:rsidRPr="6B154529">
        <w:rPr>
          <w:rFonts w:ascii="Times New Roman" w:hAnsi="Times New Roman" w:cs="Times New Roman"/>
          <w:lang w:val="en"/>
        </w:rPr>
        <w:t xml:space="preserve"> Tian</w:t>
      </w:r>
      <w:r w:rsidR="001C0918" w:rsidRPr="6B154529">
        <w:rPr>
          <w:rFonts w:ascii="Times New Roman" w:hAnsi="Times New Roman" w:cs="Times New Roman"/>
          <w:lang w:val="en"/>
        </w:rPr>
        <w:t>,</w:t>
      </w:r>
      <w:r w:rsidR="001B0FA0" w:rsidRPr="6B154529">
        <w:rPr>
          <w:rFonts w:ascii="Times New Roman" w:eastAsia="Times New Roman" w:hAnsi="Times New Roman" w:cs="Times New Roman"/>
          <w:color w:val="000000" w:themeColor="text1"/>
          <w:vertAlign w:val="superscript"/>
        </w:rPr>
        <w:t>1</w:t>
      </w:r>
      <w:r w:rsidR="001C0918" w:rsidRPr="6B154529">
        <w:rPr>
          <w:rFonts w:ascii="Times New Roman" w:hAnsi="Times New Roman" w:cs="Times New Roman"/>
          <w:lang w:val="en"/>
        </w:rPr>
        <w:t xml:space="preserve"> Ankita</w:t>
      </w:r>
      <w:r w:rsidR="28A1E214" w:rsidRPr="6B154529">
        <w:rPr>
          <w:rFonts w:ascii="Times New Roman" w:hAnsi="Times New Roman" w:cs="Times New Roman"/>
          <w:lang w:val="en"/>
        </w:rPr>
        <w:t xml:space="preserve"> Bhattacharya</w:t>
      </w:r>
      <w:r w:rsidR="001C0918" w:rsidRPr="6B154529">
        <w:rPr>
          <w:rFonts w:ascii="Times New Roman" w:hAnsi="Times New Roman" w:cs="Times New Roman"/>
          <w:lang w:val="en"/>
        </w:rPr>
        <w:t>,</w:t>
      </w:r>
      <w:r w:rsidR="00B56228" w:rsidRPr="6B154529">
        <w:rPr>
          <w:rFonts w:ascii="Times New Roman" w:eastAsia="Times New Roman" w:hAnsi="Times New Roman" w:cs="Times New Roman"/>
          <w:color w:val="000000" w:themeColor="text1"/>
          <w:vertAlign w:val="superscript"/>
        </w:rPr>
        <w:t>1</w:t>
      </w:r>
      <w:r w:rsidR="001C0918" w:rsidRPr="6B154529">
        <w:rPr>
          <w:rFonts w:ascii="Times New Roman" w:hAnsi="Times New Roman" w:cs="Times New Roman"/>
          <w:lang w:val="en"/>
        </w:rPr>
        <w:t xml:space="preserve"> </w:t>
      </w:r>
      <w:r w:rsidR="001C0918" w:rsidRPr="00413A5C">
        <w:rPr>
          <w:rFonts w:ascii="Times New Roman" w:hAnsi="Times New Roman" w:cs="Times New Roman"/>
          <w:highlight w:val="green"/>
          <w:lang w:val="en"/>
        </w:rPr>
        <w:t>Hui Li,</w:t>
      </w:r>
      <w:r w:rsidR="001C0918" w:rsidRPr="6B154529">
        <w:rPr>
          <w:rFonts w:ascii="Times New Roman" w:hAnsi="Times New Roman" w:cs="Times New Roman"/>
          <w:lang w:val="en"/>
        </w:rPr>
        <w:t xml:space="preserve"> </w:t>
      </w:r>
      <w:r w:rsidR="382ACA91" w:rsidRPr="6B154529">
        <w:rPr>
          <w:rFonts w:ascii="Times New Roman" w:eastAsia="DengXian" w:hAnsi="Times New Roman" w:cs="Times New Roman"/>
          <w:color w:val="000000" w:themeColor="text1"/>
        </w:rPr>
        <w:t>Courtney C. Carignan</w:t>
      </w:r>
      <w:r w:rsidR="382ACA91" w:rsidRPr="6B154529">
        <w:rPr>
          <w:rFonts w:ascii="Times New Roman" w:eastAsia="DengXian" w:hAnsi="Times New Roman" w:cs="Times New Roman"/>
          <w:color w:val="000000" w:themeColor="text1"/>
          <w:vertAlign w:val="superscript"/>
        </w:rPr>
        <w:t>1,2</w:t>
      </w:r>
    </w:p>
    <w:p w14:paraId="791E6034" w14:textId="431274DB" w:rsidR="5A5F9327" w:rsidRDefault="5A5F9327" w:rsidP="6B154529">
      <w:pPr>
        <w:jc w:val="both"/>
      </w:pPr>
      <w:r w:rsidRPr="6B154529">
        <w:rPr>
          <w:rFonts w:ascii="Times New Roman" w:eastAsia="Times New Roman" w:hAnsi="Times New Roman" w:cs="Times New Roman"/>
          <w:color w:val="000000" w:themeColor="text1"/>
          <w:vertAlign w:val="superscript"/>
        </w:rPr>
        <w:t>1</w:t>
      </w:r>
      <w:r w:rsidRPr="6B154529">
        <w:rPr>
          <w:rFonts w:ascii="Times New Roman" w:eastAsia="Times New Roman" w:hAnsi="Times New Roman" w:cs="Times New Roman"/>
          <w:color w:val="000000" w:themeColor="text1"/>
        </w:rPr>
        <w:t xml:space="preserve">Department Food Science and Human Nutrition, Michigan State University, East Lansing, Michigan, USA; </w:t>
      </w:r>
      <w:r w:rsidRPr="6B154529">
        <w:rPr>
          <w:rFonts w:ascii="Times New Roman" w:eastAsia="Times New Roman" w:hAnsi="Times New Roman" w:cs="Times New Roman"/>
          <w:color w:val="000000" w:themeColor="text1"/>
          <w:vertAlign w:val="superscript"/>
        </w:rPr>
        <w:t>2</w:t>
      </w:r>
      <w:r w:rsidRPr="6B154529">
        <w:rPr>
          <w:rFonts w:ascii="Times New Roman" w:eastAsia="Times New Roman" w:hAnsi="Times New Roman" w:cs="Times New Roman"/>
          <w:color w:val="000000" w:themeColor="text1"/>
        </w:rPr>
        <w:t xml:space="preserve">Department of Pharmacology and Toxicology, Michigan State University, East Lansing, Michigan, </w:t>
      </w:r>
      <w:r w:rsidR="00AD02C1" w:rsidRPr="6B154529">
        <w:rPr>
          <w:rFonts w:ascii="Times New Roman" w:eastAsia="Times New Roman" w:hAnsi="Times New Roman" w:cs="Times New Roman"/>
          <w:color w:val="000000" w:themeColor="text1"/>
        </w:rPr>
        <w:t>USA.</w:t>
      </w:r>
    </w:p>
    <w:p w14:paraId="604AB09E" w14:textId="5972178E" w:rsidR="6B154529" w:rsidRPr="00DF4385" w:rsidRDefault="6B154529" w:rsidP="6B154529">
      <w:pPr>
        <w:jc w:val="both"/>
        <w:rPr>
          <w:rFonts w:ascii="Times New Roman" w:hAnsi="Times New Roman" w:cs="Times New Roman" w:hint="eastAsia"/>
        </w:rPr>
      </w:pPr>
    </w:p>
    <w:p w14:paraId="014E892E" w14:textId="77777777" w:rsidR="003058BA" w:rsidRDefault="001C0918" w:rsidP="2BD4DDC8">
      <w:pPr>
        <w:jc w:val="both"/>
        <w:rPr>
          <w:rFonts w:ascii="Times New Roman" w:hAnsi="Times New Roman" w:cs="Times New Roman"/>
          <w:lang w:val="en"/>
        </w:rPr>
      </w:pPr>
      <w:r>
        <w:rPr>
          <w:rFonts w:ascii="Times New Roman" w:hAnsi="Times New Roman" w:cs="Times New Roman"/>
          <w:lang w:val="en"/>
        </w:rPr>
        <w:t xml:space="preserve">Ankita agreed we should frame this more generally </w:t>
      </w:r>
      <w:r w:rsidR="0032202C">
        <w:rPr>
          <w:rFonts w:ascii="Times New Roman" w:hAnsi="Times New Roman" w:cs="Times New Roman"/>
          <w:lang w:val="en"/>
        </w:rPr>
        <w:t>leaving out the specifics about the Lapeer sampling and so it will lead more into your paper for the EPA project.</w:t>
      </w:r>
      <w:r w:rsidR="00593453">
        <w:rPr>
          <w:rFonts w:ascii="Times New Roman" w:hAnsi="Times New Roman" w:cs="Times New Roman"/>
          <w:lang w:val="en"/>
        </w:rPr>
        <w:t xml:space="preserve"> So instead of having the gap statement be the BAF variability</w:t>
      </w:r>
      <w:r w:rsidR="008A36CD">
        <w:rPr>
          <w:rFonts w:ascii="Times New Roman" w:hAnsi="Times New Roman" w:cs="Times New Roman"/>
          <w:lang w:val="en"/>
        </w:rPr>
        <w:t xml:space="preserve"> focus </w:t>
      </w:r>
      <w:r w:rsidR="00FB1632">
        <w:rPr>
          <w:rFonts w:ascii="Times New Roman" w:hAnsi="Times New Roman" w:cs="Times New Roman"/>
          <w:lang w:val="en"/>
        </w:rPr>
        <w:t xml:space="preserve">on the topic more generally – </w:t>
      </w:r>
      <w:r w:rsidR="009D10C5">
        <w:rPr>
          <w:rFonts w:ascii="Times New Roman" w:hAnsi="Times New Roman" w:cs="Times New Roman"/>
          <w:lang w:val="en"/>
        </w:rPr>
        <w:t>creation of a model to estimate</w:t>
      </w:r>
      <w:r w:rsidR="008826CB">
        <w:rPr>
          <w:rFonts w:ascii="Times New Roman" w:hAnsi="Times New Roman" w:cs="Times New Roman"/>
          <w:lang w:val="en"/>
        </w:rPr>
        <w:t xml:space="preserve"> concentrations in crop</w:t>
      </w:r>
      <w:r w:rsidR="00116566">
        <w:rPr>
          <w:rFonts w:ascii="Times New Roman" w:hAnsi="Times New Roman" w:cs="Times New Roman"/>
          <w:lang w:val="en"/>
        </w:rPr>
        <w:t xml:space="preserve">s and beef along with </w:t>
      </w:r>
      <w:r w:rsidR="003D0A65">
        <w:rPr>
          <w:rFonts w:ascii="Times New Roman" w:hAnsi="Times New Roman" w:cs="Times New Roman"/>
          <w:lang w:val="en"/>
        </w:rPr>
        <w:t>exposure for children and adults. For methods describe literature review for crop BAFs</w:t>
      </w:r>
      <w:r w:rsidR="007747AA">
        <w:rPr>
          <w:rFonts w:ascii="Times New Roman" w:hAnsi="Times New Roman" w:cs="Times New Roman"/>
          <w:lang w:val="en"/>
        </w:rPr>
        <w:t xml:space="preserve"> and</w:t>
      </w:r>
      <w:r w:rsidR="003D0A65">
        <w:rPr>
          <w:rFonts w:ascii="Times New Roman" w:hAnsi="Times New Roman" w:cs="Times New Roman"/>
          <w:lang w:val="en"/>
        </w:rPr>
        <w:t xml:space="preserve"> adaptation of </w:t>
      </w:r>
      <w:r w:rsidR="007747AA">
        <w:rPr>
          <w:rFonts w:ascii="Times New Roman" w:hAnsi="Times New Roman" w:cs="Times New Roman"/>
          <w:lang w:val="en"/>
        </w:rPr>
        <w:t>PK cattle model</w:t>
      </w:r>
      <w:r w:rsidR="00D357CC">
        <w:rPr>
          <w:rFonts w:ascii="Times New Roman" w:hAnsi="Times New Roman" w:cs="Times New Roman"/>
          <w:lang w:val="en"/>
        </w:rPr>
        <w:t xml:space="preserve">, selection of </w:t>
      </w:r>
      <w:r w:rsidR="002531E6">
        <w:rPr>
          <w:rFonts w:ascii="Times New Roman" w:hAnsi="Times New Roman" w:cs="Times New Roman"/>
          <w:lang w:val="en"/>
        </w:rPr>
        <w:t>model inputs and human intake factors</w:t>
      </w:r>
      <w:r w:rsidR="007747AA">
        <w:rPr>
          <w:rFonts w:ascii="Times New Roman" w:hAnsi="Times New Roman" w:cs="Times New Roman"/>
          <w:lang w:val="en"/>
        </w:rPr>
        <w:t xml:space="preserve">. </w:t>
      </w:r>
      <w:r w:rsidR="00D357CC">
        <w:rPr>
          <w:rFonts w:ascii="Times New Roman" w:hAnsi="Times New Roman" w:cs="Times New Roman"/>
          <w:lang w:val="en"/>
        </w:rPr>
        <w:t xml:space="preserve">Comparison of central </w:t>
      </w:r>
      <w:r w:rsidR="002531E6">
        <w:rPr>
          <w:rFonts w:ascii="Times New Roman" w:hAnsi="Times New Roman" w:cs="Times New Roman"/>
          <w:lang w:val="en"/>
        </w:rPr>
        <w:t>tendency</w:t>
      </w:r>
      <w:r w:rsidR="00D357CC">
        <w:rPr>
          <w:rFonts w:ascii="Times New Roman" w:hAnsi="Times New Roman" w:cs="Times New Roman"/>
          <w:lang w:val="en"/>
        </w:rPr>
        <w:t xml:space="preserve"> and upper</w:t>
      </w:r>
      <w:r w:rsidR="002531E6">
        <w:rPr>
          <w:rFonts w:ascii="Times New Roman" w:hAnsi="Times New Roman" w:cs="Times New Roman"/>
          <w:lang w:val="en"/>
        </w:rPr>
        <w:t xml:space="preserve"> bound estimates</w:t>
      </w:r>
      <w:r w:rsidR="00BA348B">
        <w:rPr>
          <w:rFonts w:ascii="Times New Roman" w:hAnsi="Times New Roman" w:cs="Times New Roman"/>
          <w:lang w:val="en"/>
        </w:rPr>
        <w:t>.</w:t>
      </w:r>
    </w:p>
    <w:p w14:paraId="513A48E4" w14:textId="0DA38E84" w:rsidR="001C0918" w:rsidRDefault="003058BA" w:rsidP="3C0E9E82">
      <w:pPr>
        <w:jc w:val="both"/>
        <w:rPr>
          <w:rFonts w:ascii="Times New Roman" w:hAnsi="Times New Roman" w:cs="Times New Roman"/>
        </w:rPr>
      </w:pPr>
      <w:r w:rsidRPr="3C0E9E82">
        <w:rPr>
          <w:rFonts w:ascii="Times New Roman" w:hAnsi="Times New Roman" w:cs="Times New Roman"/>
        </w:rPr>
        <w:t xml:space="preserve">(So </w:t>
      </w:r>
      <w:r w:rsidR="00DF4385" w:rsidRPr="3C0E9E82">
        <w:rPr>
          <w:rFonts w:ascii="Times New Roman" w:hAnsi="Times New Roman" w:cs="Times New Roman"/>
        </w:rPr>
        <w:t>basically,</w:t>
      </w:r>
      <w:r w:rsidRPr="3C0E9E82">
        <w:rPr>
          <w:rFonts w:ascii="Times New Roman" w:hAnsi="Times New Roman" w:cs="Times New Roman"/>
        </w:rPr>
        <w:t xml:space="preserve"> write results based on </w:t>
      </w:r>
      <w:r w:rsidR="007C06B1" w:rsidRPr="3C0E9E82">
        <w:rPr>
          <w:rFonts w:ascii="Times New Roman" w:hAnsi="Times New Roman" w:cs="Times New Roman"/>
        </w:rPr>
        <w:t xml:space="preserve">Figure 6 from the JEQ paper – and for the presentation will aim to </w:t>
      </w:r>
      <w:r w:rsidR="0044298D" w:rsidRPr="3C0E9E82">
        <w:rPr>
          <w:rFonts w:ascii="Times New Roman" w:hAnsi="Times New Roman" w:cs="Times New Roman"/>
        </w:rPr>
        <w:t>expand that approach to other staple crops for cattle</w:t>
      </w:r>
      <w:r w:rsidR="005B1598" w:rsidRPr="3C0E9E82">
        <w:rPr>
          <w:rFonts w:ascii="Times New Roman" w:hAnsi="Times New Roman" w:cs="Times New Roman"/>
        </w:rPr>
        <w:t xml:space="preserve"> and other PFASs</w:t>
      </w:r>
      <w:r w:rsidR="00AC30DE" w:rsidRPr="3C0E9E82">
        <w:rPr>
          <w:rFonts w:ascii="Times New Roman" w:hAnsi="Times New Roman" w:cs="Times New Roman"/>
        </w:rPr>
        <w:t>)</w:t>
      </w:r>
    </w:p>
    <w:p w14:paraId="75EE04A3" w14:textId="77777777" w:rsidR="001C0918" w:rsidRDefault="001C0918" w:rsidP="2BD4DDC8">
      <w:pPr>
        <w:jc w:val="both"/>
        <w:rPr>
          <w:rFonts w:ascii="Times New Roman" w:hAnsi="Times New Roman" w:cs="Times New Roman"/>
          <w:lang w:val="en"/>
        </w:rPr>
      </w:pPr>
    </w:p>
    <w:p w14:paraId="5D5E1405" w14:textId="4D09B133" w:rsidR="00E058C1" w:rsidRDefault="00E058C1" w:rsidP="00E058C1">
      <w:pPr>
        <w:jc w:val="both"/>
        <w:rPr>
          <w:rFonts w:ascii="Times New Roman" w:hAnsi="Times New Roman" w:cs="Times New Roman"/>
          <w:b/>
          <w:bCs/>
          <w:lang w:val="en"/>
        </w:rPr>
      </w:pPr>
      <w:r w:rsidRPr="2FF06C9C">
        <w:rPr>
          <w:rFonts w:ascii="Times New Roman" w:hAnsi="Times New Roman" w:cs="Times New Roman"/>
          <w:b/>
          <w:bCs/>
          <w:lang w:val="en"/>
        </w:rPr>
        <w:t>Objective:</w:t>
      </w:r>
    </w:p>
    <w:p w14:paraId="66F82F6D" w14:textId="77777777" w:rsidR="0090100E" w:rsidRDefault="0090100E" w:rsidP="6B154529">
      <w:pPr>
        <w:jc w:val="both"/>
        <w:rPr>
          <w:rFonts w:ascii="Times New Roman" w:hAnsi="Times New Roman" w:cs="Times New Roman"/>
        </w:rPr>
      </w:pPr>
      <w:r w:rsidRPr="6B154529">
        <w:rPr>
          <w:rFonts w:ascii="Times New Roman" w:hAnsi="Times New Roman" w:cs="Times New Roman"/>
        </w:rPr>
        <w:t xml:space="preserve">Per- and polyfluoroalkyl substances (PFAS) present in biosolid-amended soils can transfer and accumulate in crops, livestock, and, ultimately, humans through dietary intake. </w:t>
      </w:r>
      <w:r w:rsidRPr="003D1038">
        <w:rPr>
          <w:rFonts w:ascii="Times New Roman" w:hAnsi="Times New Roman" w:cs="Times New Roman"/>
          <w:highlight w:val="green"/>
        </w:rPr>
        <w:t>Bioaccumulation factors (BAFs) are commonly used to estimate the transfer of contaminants from soil to crops; however, their variability introduces significant uncertainty into exposure and risk assessments. This study aimed to address this uncertainty by developing a modeling framework to estimate PFAS concentrations in crops and cattle and to assess dietary exposure for children and adults.</w:t>
      </w:r>
    </w:p>
    <w:p w14:paraId="3ABCDD70" w14:textId="7E54BA6B" w:rsidR="00E058C1" w:rsidRDefault="00E058C1" w:rsidP="00E058C1">
      <w:pPr>
        <w:jc w:val="both"/>
        <w:rPr>
          <w:rFonts w:ascii="Times New Roman" w:hAnsi="Times New Roman" w:cs="Times New Roman"/>
          <w:b/>
          <w:bCs/>
          <w:lang w:val="en"/>
        </w:rPr>
      </w:pPr>
      <w:r w:rsidRPr="2FF06C9C">
        <w:rPr>
          <w:rFonts w:ascii="Times New Roman" w:hAnsi="Times New Roman" w:cs="Times New Roman"/>
          <w:b/>
          <w:bCs/>
          <w:lang w:val="en"/>
        </w:rPr>
        <w:t>Material</w:t>
      </w:r>
      <w:r w:rsidR="0090100E" w:rsidRPr="2FF06C9C">
        <w:rPr>
          <w:rFonts w:ascii="Times New Roman" w:hAnsi="Times New Roman" w:cs="Times New Roman"/>
          <w:b/>
          <w:bCs/>
          <w:lang w:val="en"/>
        </w:rPr>
        <w:t xml:space="preserve"> &amp; </w:t>
      </w:r>
      <w:r w:rsidRPr="2FF06C9C">
        <w:rPr>
          <w:rFonts w:ascii="Times New Roman" w:hAnsi="Times New Roman" w:cs="Times New Roman"/>
          <w:b/>
          <w:bCs/>
          <w:lang w:val="en"/>
        </w:rPr>
        <w:t>Methods</w:t>
      </w:r>
    </w:p>
    <w:p w14:paraId="2AD022BB" w14:textId="77777777" w:rsidR="0090100E" w:rsidRDefault="0090100E" w:rsidP="6B154529">
      <w:pPr>
        <w:jc w:val="both"/>
        <w:rPr>
          <w:rFonts w:ascii="Times New Roman" w:hAnsi="Times New Roman" w:cs="Times New Roman"/>
        </w:rPr>
      </w:pPr>
      <w:r w:rsidRPr="00133A8D">
        <w:rPr>
          <w:rFonts w:ascii="Times New Roman" w:hAnsi="Times New Roman" w:cs="Times New Roman"/>
          <w:highlight w:val="green"/>
        </w:rPr>
        <w:t>To investigate the variability of PFAS accumulation in crops, we conducted a literature review to identify BAFs for corn (</w:t>
      </w:r>
      <w:proofErr w:type="spellStart"/>
      <w:r w:rsidRPr="00133A8D">
        <w:rPr>
          <w:rFonts w:ascii="Times New Roman" w:hAnsi="Times New Roman" w:cs="Times New Roman"/>
          <w:highlight w:val="green"/>
        </w:rPr>
        <w:t>Zea</w:t>
      </w:r>
      <w:proofErr w:type="spellEnd"/>
      <w:r w:rsidRPr="00133A8D">
        <w:rPr>
          <w:rFonts w:ascii="Times New Roman" w:hAnsi="Times New Roman" w:cs="Times New Roman"/>
          <w:highlight w:val="green"/>
        </w:rPr>
        <w:t xml:space="preserve"> mays), a staple crop for cattle feed. Using literature-derived BAFs and a hypothetical soil PFOS concentration, we estimated PFOS levels in corn stover.</w:t>
      </w:r>
      <w:r w:rsidRPr="6B154529">
        <w:rPr>
          <w:rFonts w:ascii="Times New Roman" w:hAnsi="Times New Roman" w:cs="Times New Roman"/>
        </w:rPr>
        <w:t xml:space="preserve"> These values were then used as inputs in a pharmacokinetic (PK) compartment-based model to predict PFOS accumulation in cattle ingesting contaminated feed and soil. The modeled PFOS concentrations in cattle muscle were subsequently used for human exposure assessment. Dietary exposure estimates were calculated using weighted adjusted consumption rates from the National Health and Nutrition Examination Survey (NHANES), considering central tendency and upper bound scenarios.</w:t>
      </w:r>
    </w:p>
    <w:p w14:paraId="30F6995F" w14:textId="471FD235" w:rsidR="00006CD1" w:rsidRDefault="00E058C1" w:rsidP="00E058C1">
      <w:pPr>
        <w:jc w:val="both"/>
        <w:rPr>
          <w:rFonts w:ascii="Times New Roman" w:hAnsi="Times New Roman" w:cs="Times New Roman"/>
          <w:b/>
          <w:bCs/>
          <w:lang w:val="en"/>
        </w:rPr>
      </w:pPr>
      <w:r w:rsidRPr="2FF06C9C">
        <w:rPr>
          <w:rFonts w:ascii="Times New Roman" w:hAnsi="Times New Roman" w:cs="Times New Roman"/>
          <w:b/>
          <w:bCs/>
          <w:lang w:val="en"/>
        </w:rPr>
        <w:t>Results:</w:t>
      </w:r>
      <w:r w:rsidR="00006CD1" w:rsidRPr="2FF06C9C">
        <w:rPr>
          <w:rFonts w:ascii="Times New Roman" w:hAnsi="Times New Roman" w:cs="Times New Roman"/>
          <w:b/>
          <w:bCs/>
          <w:lang w:val="en"/>
        </w:rPr>
        <w:t xml:space="preserve"> </w:t>
      </w:r>
    </w:p>
    <w:p w14:paraId="08C9DA62" w14:textId="42CB92D4" w:rsidR="0090100E" w:rsidRDefault="0090100E" w:rsidP="00E058C1">
      <w:pPr>
        <w:jc w:val="both"/>
        <w:rPr>
          <w:rFonts w:ascii="Times New Roman" w:hAnsi="Times New Roman" w:cs="Times New Roman"/>
        </w:rPr>
      </w:pPr>
      <w:r w:rsidRPr="0090100E">
        <w:rPr>
          <w:rFonts w:ascii="Times New Roman" w:hAnsi="Times New Roman" w:cs="Times New Roman"/>
        </w:rPr>
        <w:lastRenderedPageBreak/>
        <w:t xml:space="preserve">Our analysis highlighted substantial variability in BAFs across the literature, underscoring the need for refined parameterization in exposure modeling. Modeled PFOS concentrations in cattle muscle provided insight into potential human dietary exposure. Due to higher weighted adjusted beef consumption rates among children, their estimated PFOS intake exceeded that of adults at median exposure levels and was significantly higher at the maximum exposure scenario. </w:t>
      </w:r>
    </w:p>
    <w:p w14:paraId="3314B2C7" w14:textId="4093FFD1" w:rsidR="00E058C1" w:rsidRDefault="00E058C1" w:rsidP="00E058C1">
      <w:pPr>
        <w:jc w:val="both"/>
        <w:rPr>
          <w:rFonts w:ascii="Times New Roman" w:hAnsi="Times New Roman" w:cs="Times New Roman"/>
          <w:b/>
          <w:bCs/>
          <w:lang w:val="en"/>
        </w:rPr>
      </w:pPr>
      <w:r w:rsidRPr="2FF06C9C">
        <w:rPr>
          <w:rFonts w:ascii="Times New Roman" w:hAnsi="Times New Roman" w:cs="Times New Roman"/>
          <w:b/>
          <w:bCs/>
          <w:lang w:val="en"/>
        </w:rPr>
        <w:t>Conclusion:</w:t>
      </w:r>
    </w:p>
    <w:p w14:paraId="5CC42C69" w14:textId="376077AD" w:rsidR="149D9C98" w:rsidRDefault="0090100E" w:rsidP="149D9C98">
      <w:pPr>
        <w:jc w:val="both"/>
        <w:rPr>
          <w:rFonts w:ascii="Times New Roman" w:hAnsi="Times New Roman" w:cs="Times New Roman"/>
        </w:rPr>
      </w:pPr>
      <w:r w:rsidRPr="0090100E">
        <w:rPr>
          <w:rFonts w:ascii="Times New Roman" w:hAnsi="Times New Roman" w:cs="Times New Roman"/>
        </w:rPr>
        <w:t>This study demonstrates a quantitative approach to estimating PFAS accumulation in the agricultural food chain and highlights the uncertainties introduced by BAF variability.</w:t>
      </w:r>
      <w:r>
        <w:rPr>
          <w:rFonts w:ascii="Times New Roman" w:hAnsi="Times New Roman" w:cs="Times New Roman" w:hint="eastAsia"/>
        </w:rPr>
        <w:t xml:space="preserve"> </w:t>
      </w:r>
      <w:r w:rsidRPr="0090100E">
        <w:rPr>
          <w:rFonts w:ascii="Times New Roman" w:hAnsi="Times New Roman" w:cs="Times New Roman"/>
        </w:rPr>
        <w:t>Future work will expand this approach to include additional staple crops used in cattle feed and a broader range of PFAS compounds, improving our understanding of human dietary exposure from biosolid-amended agricultural systems.</w:t>
      </w:r>
    </w:p>
    <w:p w14:paraId="7E708828" w14:textId="37EA7559" w:rsidR="00867688" w:rsidRDefault="00867688">
      <w:pPr>
        <w:rPr>
          <w:rFonts w:ascii="Times New Roman" w:hAnsi="Times New Roman" w:cs="Times New Roman"/>
          <w:highlight w:val="yellow"/>
        </w:rPr>
      </w:pPr>
      <w:r>
        <w:rPr>
          <w:rFonts w:ascii="Times New Roman" w:hAnsi="Times New Roman" w:cs="Times New Roman"/>
          <w:highlight w:val="yellow"/>
        </w:rPr>
        <w:br w:type="page"/>
      </w:r>
    </w:p>
    <w:p w14:paraId="51DDDD6E" w14:textId="561E6C36" w:rsidR="00867688" w:rsidRDefault="00867688" w:rsidP="149D9C98">
      <w:pPr>
        <w:jc w:val="both"/>
        <w:rPr>
          <w:rFonts w:hint="eastAsia"/>
        </w:rPr>
      </w:pPr>
      <w:r>
        <w:lastRenderedPageBreak/>
        <w:t xml:space="preserve">Objective: Per- and polyfluoroalkyl substances (PFAS) in biosolid-amended soils can transfer and accumulate in crops, cattle, and people. </w:t>
      </w:r>
      <w:r w:rsidRPr="00867688">
        <w:t>There is a need for modeling tools to estimate uptake and bioaccumulation of PFASs in common crops and livestock through the biosolids pathway to inform and quantify human dietary exposure.</w:t>
      </w:r>
      <w:r>
        <w:rPr>
          <w:rFonts w:hint="eastAsia"/>
        </w:rPr>
        <w:t xml:space="preserve"> </w:t>
      </w:r>
      <w:r w:rsidRPr="00867688">
        <w:t>Our research objective</w:t>
      </w:r>
      <w:r>
        <w:rPr>
          <w:rFonts w:hint="eastAsia"/>
        </w:rPr>
        <w:t xml:space="preserve"> is</w:t>
      </w:r>
      <w:r w:rsidRPr="00867688">
        <w:t xml:space="preserve"> to develop modeling tools that quantify concentrations of PFASs in crops and livestock through the biosolids pathway, apply the models to </w:t>
      </w:r>
      <w:r>
        <w:rPr>
          <w:rFonts w:hint="eastAsia"/>
        </w:rPr>
        <w:t xml:space="preserve">soil </w:t>
      </w:r>
      <w:r w:rsidRPr="00867688">
        <w:t>data, and estimate human dietary intakes using summary statistics from those outputs.</w:t>
      </w:r>
    </w:p>
    <w:p w14:paraId="5DAC291A" w14:textId="5B1556E0" w:rsidR="00867688" w:rsidRDefault="00867688" w:rsidP="149D9C98">
      <w:pPr>
        <w:jc w:val="both"/>
        <w:rPr>
          <w:rFonts w:hint="eastAsia"/>
        </w:rPr>
      </w:pPr>
      <w:r>
        <w:t xml:space="preserve">Material: </w:t>
      </w:r>
      <w:r>
        <w:rPr>
          <w:rFonts w:hint="eastAsia"/>
        </w:rPr>
        <w:t>需要补全</w:t>
      </w:r>
    </w:p>
    <w:p w14:paraId="08A229E1" w14:textId="77777777" w:rsidR="00274FB4" w:rsidRDefault="00867688" w:rsidP="149D9C98">
      <w:pPr>
        <w:jc w:val="both"/>
      </w:pPr>
      <w:r>
        <w:t xml:space="preserve">Methods: </w:t>
      </w:r>
      <w:r w:rsidR="00274FB4">
        <w:t>Bioaccumulation factors (BAFs) are often applied to estimate transfer of contaminants from soil to crops</w:t>
      </w:r>
      <w:r w:rsidR="00274FB4">
        <w:t xml:space="preserve">. </w:t>
      </w:r>
      <w:r>
        <w:t>This study investigated BAFs by using literature review for corn (</w:t>
      </w:r>
      <w:proofErr w:type="spellStart"/>
      <w:r>
        <w:t>Zea</w:t>
      </w:r>
      <w:proofErr w:type="spellEnd"/>
      <w:r>
        <w:t xml:space="preserve"> mays). Estimated corn stover concentrations were calculated by literature-derived BAFs and assumed soil concentration. A pharmacokinetic compartment-based model was used to predict PF</w:t>
      </w:r>
      <w:r w:rsidR="00274FB4">
        <w:t>A</w:t>
      </w:r>
      <w:r>
        <w:t xml:space="preserve">S exposure to cattle ingesting soil and corn stover from this hypothetical contaminated farm. The predicted cattle muscle concentrations from the model were used for human exposure assessment, based on weighted adjusted consumption rate from National Health and Nutrition Examination Survey (NHANES). </w:t>
      </w:r>
    </w:p>
    <w:p w14:paraId="65603DD0" w14:textId="7A67F0E7" w:rsidR="00867688" w:rsidRPr="00415C34" w:rsidRDefault="00867688" w:rsidP="149D9C98">
      <w:pPr>
        <w:jc w:val="both"/>
        <w:rPr>
          <w:rFonts w:ascii="Arial" w:hAnsi="Arial" w:cs="Arial"/>
        </w:rPr>
      </w:pPr>
      <w:r>
        <w:t>Results:</w:t>
      </w:r>
      <w:r w:rsidR="00274FB4">
        <w:t xml:space="preserve"> </w:t>
      </w:r>
      <w:r w:rsidR="00415C34">
        <w:t>由于儿童的</w:t>
      </w:r>
      <w:r w:rsidR="00415C34">
        <w:t>weighted adjusted consumption rate</w:t>
      </w:r>
      <w:r w:rsidR="00415C34">
        <w:t>较高。儿童的</w:t>
      </w:r>
      <w:r w:rsidR="00415C34">
        <w:t>PFOS</w:t>
      </w:r>
      <w:r w:rsidR="00415C34">
        <w:t>的暴露量从中位数水平上高于成人，在</w:t>
      </w:r>
      <w:r w:rsidR="00415C34">
        <w:t>maximum level</w:t>
      </w:r>
      <w:r w:rsidR="00415C34">
        <w:t>上更是远高于成人。</w:t>
      </w:r>
      <w:r w:rsidR="00415C34">
        <w:t xml:space="preserve"> </w:t>
      </w:r>
      <w:r w:rsidR="00274FB4">
        <w:rPr>
          <w:rFonts w:hint="eastAsia"/>
        </w:rPr>
        <w:t>以</w:t>
      </w:r>
      <w:r w:rsidR="00274FB4" w:rsidRPr="00C42E63">
        <w:rPr>
          <w:rFonts w:ascii="Arial" w:hAnsi="Arial" w:cs="Arial"/>
        </w:rPr>
        <w:t xml:space="preserve">2024 EPA </w:t>
      </w:r>
      <w:proofErr w:type="spellStart"/>
      <w:r w:rsidR="00274FB4" w:rsidRPr="00C42E63">
        <w:rPr>
          <w:rFonts w:ascii="Arial" w:hAnsi="Arial" w:cs="Arial"/>
        </w:rPr>
        <w:t>RfD</w:t>
      </w:r>
      <w:proofErr w:type="spellEnd"/>
      <w:r w:rsidR="00274FB4" w:rsidRPr="00C42E63">
        <w:rPr>
          <w:rFonts w:ascii="Arial" w:hAnsi="Arial" w:cs="Arial"/>
        </w:rPr>
        <w:t xml:space="preserve"> (0.01 ng/kg-</w:t>
      </w:r>
      <w:proofErr w:type="spellStart"/>
      <w:r w:rsidR="00274FB4" w:rsidRPr="00C42E63">
        <w:rPr>
          <w:rFonts w:ascii="Arial" w:hAnsi="Arial" w:cs="Arial"/>
        </w:rPr>
        <w:t>bw</w:t>
      </w:r>
      <w:proofErr w:type="spellEnd"/>
      <w:r w:rsidR="00274FB4" w:rsidRPr="00C42E63">
        <w:rPr>
          <w:rFonts w:ascii="Arial" w:hAnsi="Arial" w:cs="Arial"/>
        </w:rPr>
        <w:t>/day)</w:t>
      </w:r>
      <w:r w:rsidR="00274FB4">
        <w:rPr>
          <w:rFonts w:ascii="Arial" w:hAnsi="Arial" w:cs="Arial" w:hint="eastAsia"/>
        </w:rPr>
        <w:t>为参考依据，安全的</w:t>
      </w:r>
      <w:r w:rsidR="00274FB4">
        <w:rPr>
          <w:rFonts w:ascii="Arial" w:hAnsi="Arial" w:cs="Arial" w:hint="eastAsia"/>
        </w:rPr>
        <w:t>Cattle Muscle PFOS</w:t>
      </w:r>
      <w:r w:rsidR="00274FB4">
        <w:rPr>
          <w:rFonts w:ascii="Arial" w:hAnsi="Arial" w:cs="Arial" w:hint="eastAsia"/>
        </w:rPr>
        <w:t>浓度对于儿童而言是</w:t>
      </w:r>
      <w:r w:rsidR="00415C34">
        <w:rPr>
          <w:rFonts w:ascii="Arial" w:hAnsi="Arial" w:cs="Arial" w:hint="eastAsia"/>
        </w:rPr>
        <w:t>0.1 ng/g</w:t>
      </w:r>
      <w:r w:rsidR="00415C34">
        <w:rPr>
          <w:rFonts w:ascii="Arial" w:hAnsi="Arial" w:cs="Arial" w:hint="eastAsia"/>
        </w:rPr>
        <w:t>，对于成人而言是</w:t>
      </w:r>
      <w:r w:rsidR="00415C34">
        <w:rPr>
          <w:rFonts w:ascii="Arial" w:hAnsi="Arial" w:cs="Arial" w:hint="eastAsia"/>
        </w:rPr>
        <w:t>0.2 ng/g</w:t>
      </w:r>
      <w:r w:rsidR="00415C34">
        <w:rPr>
          <w:rFonts w:ascii="Arial" w:hAnsi="Arial" w:cs="Arial" w:hint="eastAsia"/>
        </w:rPr>
        <w:t>。依据</w:t>
      </w:r>
      <w:r w:rsidR="00415C34">
        <w:rPr>
          <w:rFonts w:ascii="Arial" w:hAnsi="Arial" w:cs="Arial" w:hint="eastAsia"/>
        </w:rPr>
        <w:t>BAF</w:t>
      </w:r>
      <w:r w:rsidR="00415C34">
        <w:rPr>
          <w:rFonts w:ascii="Arial" w:hAnsi="Arial" w:cs="Arial" w:hint="eastAsia"/>
        </w:rPr>
        <w:t>中位数的模型结果，安全的</w:t>
      </w:r>
      <w:r w:rsidR="00415C34">
        <w:rPr>
          <w:rFonts w:ascii="Arial" w:hAnsi="Arial" w:cs="Arial" w:hint="eastAsia"/>
        </w:rPr>
        <w:t>soil conc</w:t>
      </w:r>
      <w:r w:rsidR="00415C34">
        <w:rPr>
          <w:rFonts w:ascii="Arial" w:hAnsi="Arial" w:cs="Arial"/>
        </w:rPr>
        <w:t xml:space="preserve">. </w:t>
      </w:r>
      <w:r w:rsidR="00415C34">
        <w:rPr>
          <w:rFonts w:ascii="Arial" w:hAnsi="Arial" w:cs="Arial" w:hint="eastAsia"/>
        </w:rPr>
        <w:t>对于儿童是</w:t>
      </w:r>
      <w:r w:rsidR="00415C34" w:rsidRPr="00415C34">
        <w:rPr>
          <w:rFonts w:ascii="Arial" w:hAnsi="Arial" w:cs="Arial"/>
        </w:rPr>
        <w:t>0.</w:t>
      </w:r>
      <w:r w:rsidR="00415C34">
        <w:rPr>
          <w:rFonts w:ascii="Arial" w:hAnsi="Arial" w:cs="Arial" w:hint="eastAsia"/>
        </w:rPr>
        <w:t>45</w:t>
      </w:r>
      <w:r w:rsidR="00415C34">
        <w:rPr>
          <w:rFonts w:ascii="Arial" w:hAnsi="Arial" w:cs="Arial"/>
        </w:rPr>
        <w:t xml:space="preserve"> ng/g,</w:t>
      </w:r>
      <w:r w:rsidR="00415C34">
        <w:rPr>
          <w:rFonts w:ascii="Arial" w:hAnsi="Arial" w:cs="Arial" w:hint="eastAsia"/>
        </w:rPr>
        <w:t xml:space="preserve"> </w:t>
      </w:r>
      <w:r w:rsidR="00415C34">
        <w:rPr>
          <w:rFonts w:ascii="Arial" w:hAnsi="Arial" w:cs="Arial" w:hint="eastAsia"/>
        </w:rPr>
        <w:t>对于成人是</w:t>
      </w:r>
      <w:r w:rsidR="00415C34" w:rsidRPr="00415C34">
        <w:rPr>
          <w:rFonts w:ascii="Arial" w:hAnsi="Arial" w:cs="Arial"/>
        </w:rPr>
        <w:t xml:space="preserve"> </w:t>
      </w:r>
      <w:r w:rsidR="00415C34" w:rsidRPr="00415C34">
        <w:rPr>
          <w:rFonts w:ascii="Arial" w:hAnsi="Arial" w:cs="Arial"/>
        </w:rPr>
        <w:t>0.8</w:t>
      </w:r>
      <w:r w:rsidR="00415C34">
        <w:rPr>
          <w:rFonts w:ascii="Arial" w:hAnsi="Arial" w:cs="Arial" w:hint="eastAsia"/>
        </w:rPr>
        <w:t>1 ng/g</w:t>
      </w:r>
      <w:r w:rsidR="00415C34">
        <w:rPr>
          <w:rFonts w:ascii="Arial" w:hAnsi="Arial" w:cs="Arial" w:hint="eastAsia"/>
        </w:rPr>
        <w:t>。</w:t>
      </w:r>
      <w:r w:rsidR="00415C34">
        <w:rPr>
          <w:rFonts w:ascii="Arial" w:hAnsi="Arial" w:cs="Arial" w:hint="eastAsia"/>
        </w:rPr>
        <w:t>stover con</w:t>
      </w:r>
      <w:r w:rsidR="00415C34">
        <w:rPr>
          <w:rFonts w:ascii="Arial" w:hAnsi="Arial" w:cs="Arial"/>
        </w:rPr>
        <w:t>c.</w:t>
      </w:r>
      <w:r w:rsidR="00415C34">
        <w:rPr>
          <w:rFonts w:ascii="Arial" w:hAnsi="Arial" w:cs="Arial" w:hint="eastAsia"/>
        </w:rPr>
        <w:t xml:space="preserve"> </w:t>
      </w:r>
      <w:r w:rsidR="00415C34">
        <w:rPr>
          <w:rFonts w:ascii="Arial" w:hAnsi="Arial" w:cs="Arial" w:hint="eastAsia"/>
        </w:rPr>
        <w:t>是</w:t>
      </w:r>
      <w:r w:rsidR="00415C34" w:rsidRPr="00415C34">
        <w:rPr>
          <w:rFonts w:ascii="Arial" w:hAnsi="Arial" w:cs="Arial"/>
        </w:rPr>
        <w:t>0.0</w:t>
      </w:r>
      <w:r w:rsidR="00415C34">
        <w:rPr>
          <w:rFonts w:ascii="Arial" w:hAnsi="Arial" w:cs="Arial" w:hint="eastAsia"/>
        </w:rPr>
        <w:t xml:space="preserve">6ng/g </w:t>
      </w:r>
      <w:r w:rsidR="00415C34">
        <w:rPr>
          <w:rFonts w:ascii="Arial" w:hAnsi="Arial" w:cs="Arial" w:hint="eastAsia"/>
        </w:rPr>
        <w:t>（</w:t>
      </w:r>
      <w:r w:rsidR="00415C34">
        <w:rPr>
          <w:rFonts w:ascii="Arial" w:hAnsi="Arial" w:cs="Arial" w:hint="eastAsia"/>
        </w:rPr>
        <w:t>for</w:t>
      </w:r>
      <w:r w:rsidR="00415C34">
        <w:rPr>
          <w:rFonts w:ascii="Arial" w:hAnsi="Arial" w:cs="Arial"/>
        </w:rPr>
        <w:t xml:space="preserve"> children</w:t>
      </w:r>
      <w:r w:rsidR="00415C34">
        <w:rPr>
          <w:rFonts w:ascii="Arial" w:hAnsi="Arial" w:cs="Arial" w:hint="eastAsia"/>
        </w:rPr>
        <w:t>）</w:t>
      </w:r>
      <w:r w:rsidR="00415C34">
        <w:rPr>
          <w:rFonts w:ascii="Arial" w:hAnsi="Arial" w:cs="Arial"/>
        </w:rPr>
        <w:t xml:space="preserve">, </w:t>
      </w:r>
      <w:r w:rsidR="00415C34" w:rsidRPr="00415C34">
        <w:rPr>
          <w:rFonts w:ascii="Arial" w:hAnsi="Arial" w:cs="Arial"/>
        </w:rPr>
        <w:t>0.1</w:t>
      </w:r>
      <w:r w:rsidR="00415C34">
        <w:rPr>
          <w:rFonts w:ascii="Arial" w:hAnsi="Arial" w:cs="Arial"/>
        </w:rPr>
        <w:t xml:space="preserve">1 for adults. </w:t>
      </w:r>
      <w:r w:rsidR="00415C34">
        <w:rPr>
          <w:rFonts w:ascii="Arial" w:hAnsi="Arial" w:cs="Arial" w:hint="eastAsia"/>
        </w:rPr>
        <w:t>如果</w:t>
      </w:r>
      <w:r w:rsidR="00415C34">
        <w:rPr>
          <w:rFonts w:ascii="Arial" w:hAnsi="Arial" w:cs="Arial" w:hint="eastAsia"/>
        </w:rPr>
        <w:t>BAF</w:t>
      </w:r>
      <w:r w:rsidR="00415C34">
        <w:rPr>
          <w:rFonts w:ascii="Arial" w:hAnsi="Arial" w:cs="Arial" w:hint="eastAsia"/>
        </w:rPr>
        <w:t>增大，会使得安全</w:t>
      </w:r>
      <w:r w:rsidR="00415C34">
        <w:rPr>
          <w:rFonts w:ascii="Arial" w:hAnsi="Arial" w:cs="Arial" w:hint="eastAsia"/>
        </w:rPr>
        <w:t>soil conc</w:t>
      </w:r>
      <w:r w:rsidR="00415C34">
        <w:rPr>
          <w:rFonts w:ascii="Arial" w:hAnsi="Arial" w:cs="Arial" w:hint="eastAsia"/>
        </w:rPr>
        <w:t>降低。</w:t>
      </w:r>
      <w:r w:rsidR="00274FB4">
        <w:rPr>
          <w:rFonts w:ascii="Arial" w:hAnsi="Arial" w:cs="Arial" w:hint="eastAsia"/>
        </w:rPr>
        <w:t xml:space="preserve"> </w:t>
      </w:r>
    </w:p>
    <w:p w14:paraId="38A4B658" w14:textId="5C1D26A4" w:rsidR="0090100E" w:rsidRDefault="00867688" w:rsidP="149D9C98">
      <w:pPr>
        <w:jc w:val="both"/>
        <w:rPr>
          <w:rFonts w:ascii="Times New Roman" w:hAnsi="Times New Roman" w:cs="Times New Roman"/>
          <w:highlight w:val="yellow"/>
        </w:rPr>
      </w:pPr>
      <w:r>
        <w:t>Conclusion:</w:t>
      </w:r>
    </w:p>
    <w:p w14:paraId="4E4BFBF4" w14:textId="6496C2A9" w:rsidR="0083524C" w:rsidRDefault="0083524C" w:rsidP="00E058C1">
      <w:pPr>
        <w:jc w:val="both"/>
      </w:pPr>
    </w:p>
    <w:p w14:paraId="2AE3BBD2" w14:textId="7F56D04D" w:rsidR="00274FB4" w:rsidRDefault="00274FB4" w:rsidP="00E058C1">
      <w:pPr>
        <w:jc w:val="both"/>
      </w:pPr>
      <w:r>
        <w:rPr>
          <w:noProof/>
        </w:rPr>
        <w:lastRenderedPageBreak/>
        <w:drawing>
          <wp:inline distT="0" distB="0" distL="0" distR="0" wp14:anchorId="4082269D" wp14:editId="007DB6CC">
            <wp:extent cx="4800600" cy="8229600"/>
            <wp:effectExtent l="0" t="0" r="0" b="0"/>
            <wp:docPr id="92290546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05460" name="Picture 1" descr="A screenshot of a graph&#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4800600" cy="8229600"/>
                    </a:xfrm>
                    <a:prstGeom prst="rect">
                      <a:avLst/>
                    </a:prstGeom>
                  </pic:spPr>
                </pic:pic>
              </a:graphicData>
            </a:graphic>
          </wp:inline>
        </w:drawing>
      </w:r>
    </w:p>
    <w:sectPr w:rsidR="00274F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8C1"/>
    <w:rsid w:val="00006CD1"/>
    <w:rsid w:val="00081E5C"/>
    <w:rsid w:val="000918B4"/>
    <w:rsid w:val="000B4AE6"/>
    <w:rsid w:val="000E4152"/>
    <w:rsid w:val="00116566"/>
    <w:rsid w:val="00133A8D"/>
    <w:rsid w:val="00175B61"/>
    <w:rsid w:val="001B0FA0"/>
    <w:rsid w:val="001C0918"/>
    <w:rsid w:val="001C5DE6"/>
    <w:rsid w:val="001D3CD1"/>
    <w:rsid w:val="001E4A06"/>
    <w:rsid w:val="001E79A2"/>
    <w:rsid w:val="001F2F88"/>
    <w:rsid w:val="001F47B1"/>
    <w:rsid w:val="00244AD8"/>
    <w:rsid w:val="002531E6"/>
    <w:rsid w:val="00274FB4"/>
    <w:rsid w:val="00284CBC"/>
    <w:rsid w:val="003058BA"/>
    <w:rsid w:val="0032202C"/>
    <w:rsid w:val="003D0A65"/>
    <w:rsid w:val="003D1038"/>
    <w:rsid w:val="003F566E"/>
    <w:rsid w:val="00413A5C"/>
    <w:rsid w:val="00415C34"/>
    <w:rsid w:val="0044298D"/>
    <w:rsid w:val="00583F1E"/>
    <w:rsid w:val="00593453"/>
    <w:rsid w:val="005B1598"/>
    <w:rsid w:val="00616A37"/>
    <w:rsid w:val="006A0B04"/>
    <w:rsid w:val="006D47D9"/>
    <w:rsid w:val="00705DE5"/>
    <w:rsid w:val="007747AA"/>
    <w:rsid w:val="007C06B1"/>
    <w:rsid w:val="007C54A3"/>
    <w:rsid w:val="007F274C"/>
    <w:rsid w:val="0083524C"/>
    <w:rsid w:val="00867688"/>
    <w:rsid w:val="008826CB"/>
    <w:rsid w:val="008A36CD"/>
    <w:rsid w:val="008B50F8"/>
    <w:rsid w:val="008E7284"/>
    <w:rsid w:val="0090100E"/>
    <w:rsid w:val="00961AA2"/>
    <w:rsid w:val="00963E5B"/>
    <w:rsid w:val="0097721B"/>
    <w:rsid w:val="009D10C5"/>
    <w:rsid w:val="00A95F69"/>
    <w:rsid w:val="00AC0B8B"/>
    <w:rsid w:val="00AC30DE"/>
    <w:rsid w:val="00AD02C1"/>
    <w:rsid w:val="00B03E44"/>
    <w:rsid w:val="00B56228"/>
    <w:rsid w:val="00B6415B"/>
    <w:rsid w:val="00B95C9F"/>
    <w:rsid w:val="00BA348B"/>
    <w:rsid w:val="00BC67E9"/>
    <w:rsid w:val="00C17C4A"/>
    <w:rsid w:val="00CA5EE6"/>
    <w:rsid w:val="00CE69C8"/>
    <w:rsid w:val="00D357CC"/>
    <w:rsid w:val="00D516D3"/>
    <w:rsid w:val="00D5456E"/>
    <w:rsid w:val="00D86524"/>
    <w:rsid w:val="00DF4385"/>
    <w:rsid w:val="00E058C1"/>
    <w:rsid w:val="00E63C02"/>
    <w:rsid w:val="00E87155"/>
    <w:rsid w:val="00E92FB6"/>
    <w:rsid w:val="00EE382F"/>
    <w:rsid w:val="00EF2041"/>
    <w:rsid w:val="00F34E3C"/>
    <w:rsid w:val="00F72A22"/>
    <w:rsid w:val="00FB1632"/>
    <w:rsid w:val="00FB1B4C"/>
    <w:rsid w:val="00FD11E4"/>
    <w:rsid w:val="00FE426D"/>
    <w:rsid w:val="086AA618"/>
    <w:rsid w:val="0AF04839"/>
    <w:rsid w:val="149D9C98"/>
    <w:rsid w:val="2002E3AB"/>
    <w:rsid w:val="28A1E214"/>
    <w:rsid w:val="2B8B2CEA"/>
    <w:rsid w:val="2BD4DDC8"/>
    <w:rsid w:val="2C310110"/>
    <w:rsid w:val="2FF06C9C"/>
    <w:rsid w:val="382ACA91"/>
    <w:rsid w:val="3C0E9E82"/>
    <w:rsid w:val="42B36E5F"/>
    <w:rsid w:val="48208585"/>
    <w:rsid w:val="4AB1D5E5"/>
    <w:rsid w:val="5933943D"/>
    <w:rsid w:val="5A5F9327"/>
    <w:rsid w:val="654306B8"/>
    <w:rsid w:val="6B154529"/>
  </w:rsids>
  <m:mathPr>
    <m:mathFont m:val="Cambria Math"/>
    <m:brkBin m:val="before"/>
    <m:brkBinSub m:val="--"/>
    <m:smallFrac m:val="0"/>
    <m:dispDef/>
    <m:lMargin m:val="0"/>
    <m:rMargin m:val="0"/>
    <m:defJc m:val="centerGroup"/>
    <m:wrapIndent m:val="1440"/>
    <m:intLim m:val="subSup"/>
    <m:naryLim m:val="undOvr"/>
  </m:mathPr>
  <w:themeFontLang w:val="en-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31C82"/>
  <w15:chartTrackingRefBased/>
  <w15:docId w15:val="{F09A4E49-A185-454D-9FEC-4EFB21735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5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8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8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8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8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58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58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8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8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8C1"/>
    <w:rPr>
      <w:rFonts w:eastAsiaTheme="majorEastAsia" w:cstheme="majorBidi"/>
      <w:color w:val="272727" w:themeColor="text1" w:themeTint="D8"/>
    </w:rPr>
  </w:style>
  <w:style w:type="paragraph" w:styleId="Title">
    <w:name w:val="Title"/>
    <w:basedOn w:val="Normal"/>
    <w:next w:val="Normal"/>
    <w:link w:val="TitleChar"/>
    <w:uiPriority w:val="10"/>
    <w:qFormat/>
    <w:rsid w:val="00E05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8C1"/>
    <w:pPr>
      <w:spacing w:before="160"/>
      <w:jc w:val="center"/>
    </w:pPr>
    <w:rPr>
      <w:i/>
      <w:iCs/>
      <w:color w:val="404040" w:themeColor="text1" w:themeTint="BF"/>
    </w:rPr>
  </w:style>
  <w:style w:type="character" w:customStyle="1" w:styleId="QuoteChar">
    <w:name w:val="Quote Char"/>
    <w:basedOn w:val="DefaultParagraphFont"/>
    <w:link w:val="Quote"/>
    <w:uiPriority w:val="29"/>
    <w:rsid w:val="00E058C1"/>
    <w:rPr>
      <w:i/>
      <w:iCs/>
      <w:color w:val="404040" w:themeColor="text1" w:themeTint="BF"/>
    </w:rPr>
  </w:style>
  <w:style w:type="paragraph" w:styleId="ListParagraph">
    <w:name w:val="List Paragraph"/>
    <w:basedOn w:val="Normal"/>
    <w:uiPriority w:val="34"/>
    <w:qFormat/>
    <w:rsid w:val="00E058C1"/>
    <w:pPr>
      <w:ind w:left="720"/>
      <w:contextualSpacing/>
    </w:pPr>
  </w:style>
  <w:style w:type="character" w:styleId="IntenseEmphasis">
    <w:name w:val="Intense Emphasis"/>
    <w:basedOn w:val="DefaultParagraphFont"/>
    <w:uiPriority w:val="21"/>
    <w:qFormat/>
    <w:rsid w:val="00E058C1"/>
    <w:rPr>
      <w:i/>
      <w:iCs/>
      <w:color w:val="0F4761" w:themeColor="accent1" w:themeShade="BF"/>
    </w:rPr>
  </w:style>
  <w:style w:type="paragraph" w:styleId="IntenseQuote">
    <w:name w:val="Intense Quote"/>
    <w:basedOn w:val="Normal"/>
    <w:next w:val="Normal"/>
    <w:link w:val="IntenseQuoteChar"/>
    <w:uiPriority w:val="30"/>
    <w:qFormat/>
    <w:rsid w:val="00E05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8C1"/>
    <w:rPr>
      <w:i/>
      <w:iCs/>
      <w:color w:val="0F4761" w:themeColor="accent1" w:themeShade="BF"/>
    </w:rPr>
  </w:style>
  <w:style w:type="character" w:styleId="IntenseReference">
    <w:name w:val="Intense Reference"/>
    <w:basedOn w:val="DefaultParagraphFont"/>
    <w:uiPriority w:val="32"/>
    <w:qFormat/>
    <w:rsid w:val="00E058C1"/>
    <w:rPr>
      <w:b/>
      <w:bCs/>
      <w:smallCaps/>
      <w:color w:val="0F4761" w:themeColor="accent1" w:themeShade="BF"/>
      <w:spacing w:val="5"/>
    </w:rPr>
  </w:style>
  <w:style w:type="character" w:styleId="CommentReference">
    <w:name w:val="annotation reference"/>
    <w:basedOn w:val="DefaultParagraphFont"/>
    <w:uiPriority w:val="99"/>
    <w:semiHidden/>
    <w:unhideWhenUsed/>
    <w:rsid w:val="00E058C1"/>
    <w:rPr>
      <w:sz w:val="16"/>
      <w:szCs w:val="16"/>
    </w:rPr>
  </w:style>
  <w:style w:type="paragraph" w:styleId="CommentText">
    <w:name w:val="annotation text"/>
    <w:basedOn w:val="Normal"/>
    <w:link w:val="CommentTextChar"/>
    <w:uiPriority w:val="99"/>
    <w:unhideWhenUsed/>
    <w:rsid w:val="00E058C1"/>
    <w:pPr>
      <w:spacing w:line="240" w:lineRule="auto"/>
    </w:pPr>
    <w:rPr>
      <w:rFonts w:eastAsia="SimSun"/>
      <w:kern w:val="0"/>
      <w:sz w:val="20"/>
      <w:szCs w:val="20"/>
      <w:lang w:eastAsia="en-US"/>
      <w14:ligatures w14:val="none"/>
    </w:rPr>
  </w:style>
  <w:style w:type="character" w:customStyle="1" w:styleId="CommentTextChar">
    <w:name w:val="Comment Text Char"/>
    <w:basedOn w:val="DefaultParagraphFont"/>
    <w:link w:val="CommentText"/>
    <w:uiPriority w:val="99"/>
    <w:rsid w:val="00E058C1"/>
    <w:rPr>
      <w:rFonts w:eastAsia="SimSun"/>
      <w:kern w:val="0"/>
      <w:sz w:val="20"/>
      <w:szCs w:val="20"/>
      <w:lang w:val="en-US" w:eastAsia="en-US"/>
      <w14:ligatures w14:val="none"/>
    </w:rPr>
  </w:style>
  <w:style w:type="paragraph" w:styleId="Revision">
    <w:name w:val="Revision"/>
    <w:hidden/>
    <w:uiPriority w:val="99"/>
    <w:semiHidden/>
    <w:rsid w:val="007F27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743</Words>
  <Characters>4239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稼禾 田</dc:creator>
  <cp:keywords/>
  <dc:description/>
  <cp:lastModifiedBy>稼禾 田</cp:lastModifiedBy>
  <cp:revision>5</cp:revision>
  <dcterms:created xsi:type="dcterms:W3CDTF">2025-02-27T13:35:00Z</dcterms:created>
  <dcterms:modified xsi:type="dcterms:W3CDTF">2025-02-28T13:31:00Z</dcterms:modified>
</cp:coreProperties>
</file>