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3B14" w14:textId="7ADCF0F7" w:rsidR="00B85CCB" w:rsidRPr="00A80915" w:rsidRDefault="00A80915" w:rsidP="00B85CCB">
      <w:pPr>
        <w:tabs>
          <w:tab w:val="left" w:pos="1411"/>
        </w:tabs>
        <w:spacing w:line="360" w:lineRule="auto"/>
        <w:jc w:val="both"/>
        <w:rPr>
          <w:b/>
          <w:bCs/>
          <w:color w:val="000000" w:themeColor="text1"/>
        </w:rPr>
      </w:pPr>
      <w:r w:rsidRPr="00A80915">
        <w:rPr>
          <w:b/>
          <w:bCs/>
          <w:color w:val="000000" w:themeColor="text1"/>
        </w:rPr>
        <w:t xml:space="preserve">2 </w:t>
      </w:r>
      <w:r w:rsidR="00B85CCB" w:rsidRPr="00A80915">
        <w:rPr>
          <w:b/>
          <w:bCs/>
          <w:color w:val="000000" w:themeColor="text1"/>
        </w:rPr>
        <w:t>Methods</w:t>
      </w:r>
    </w:p>
    <w:p w14:paraId="2DB71E0C" w14:textId="35AB7CD3" w:rsidR="00196C4B" w:rsidRPr="00196C4B" w:rsidRDefault="00196C4B" w:rsidP="00B85CCB">
      <w:pPr>
        <w:tabs>
          <w:tab w:val="left" w:pos="1411"/>
        </w:tabs>
        <w:spacing w:line="360" w:lineRule="auto"/>
        <w:jc w:val="both"/>
        <w:rPr>
          <w:i/>
          <w:iCs/>
        </w:rPr>
      </w:pPr>
      <w:r w:rsidRPr="00196C4B">
        <w:rPr>
          <w:i/>
          <w:iCs/>
        </w:rPr>
        <w:t>2.0 Overview of Modeling Framework</w:t>
      </w:r>
    </w:p>
    <w:p w14:paraId="7B006654" w14:textId="77777777" w:rsidR="00146EBE" w:rsidRDefault="00146EBE" w:rsidP="00146EBE">
      <w:pPr>
        <w:spacing w:afterLines="100" w:after="240"/>
        <w:jc w:val="both"/>
      </w:pPr>
      <w:r>
        <w:t xml:space="preserve">To estimate the potential impact of biosolids application on PFAS transport through the soil profile and into groundwater, </w:t>
      </w:r>
      <w:commentRangeStart w:id="0"/>
      <w:r>
        <w:t>we developed a conceptual modeling framework that integrates source-term estimation, vadose zone leaching simulation, and saturated zone transport analysis</w:t>
      </w:r>
      <w:commentRangeEnd w:id="0"/>
      <w:r w:rsidR="00870105">
        <w:rPr>
          <w:rStyle w:val="CommentReference"/>
        </w:rPr>
        <w:commentReference w:id="0"/>
      </w:r>
      <w:r>
        <w:t>. This multi-step approach allows for the prediction of PFAS concentrations in biosolids-amended surface soils and the subsequent concentrations at down-gradient groundwater receptors.</w:t>
      </w:r>
    </w:p>
    <w:p w14:paraId="596290B6" w14:textId="77777777" w:rsidR="00146EBE" w:rsidRDefault="00146EBE" w:rsidP="00146EBE">
      <w:pPr>
        <w:jc w:val="both"/>
      </w:pPr>
      <w:r>
        <w:t>The modeling framework (Figure S1) consists of three sequential components:</w:t>
      </w:r>
    </w:p>
    <w:p w14:paraId="35567B0C" w14:textId="6D4FC1E5" w:rsidR="00146EBE" w:rsidRDefault="00146EBE" w:rsidP="00146EBE">
      <w:pPr>
        <w:numPr>
          <w:ilvl w:val="0"/>
          <w:numId w:val="1"/>
        </w:numPr>
        <w:jc w:val="both"/>
      </w:pPr>
      <w:r>
        <w:t>estimation of PFAS concentrations in PFAS Source Zone following biosolids application,</w:t>
      </w:r>
    </w:p>
    <w:p w14:paraId="51BB4889" w14:textId="4646E577" w:rsidR="00146EBE" w:rsidRDefault="00146EBE" w:rsidP="00146EBE">
      <w:pPr>
        <w:numPr>
          <w:ilvl w:val="0"/>
          <w:numId w:val="1"/>
        </w:numPr>
        <w:jc w:val="both"/>
      </w:pPr>
      <w:r>
        <w:t>simulation of PFAS leaching from the source zone to the saturated zone using a two-site kinetic sorption model, and</w:t>
      </w:r>
    </w:p>
    <w:p w14:paraId="18DA8D0F" w14:textId="77777777" w:rsidR="00146EBE" w:rsidRDefault="00146EBE" w:rsidP="00146EBE">
      <w:pPr>
        <w:numPr>
          <w:ilvl w:val="0"/>
          <w:numId w:val="1"/>
        </w:numPr>
        <w:spacing w:afterLines="100" w:after="240"/>
        <w:jc w:val="both"/>
      </w:pPr>
      <w:r>
        <w:t>attenuation of PFAS during groundwater transport using a simplified analytical solution for dilution and dispersion.</w:t>
      </w:r>
    </w:p>
    <w:p w14:paraId="3CEFDDA3" w14:textId="5ADAACDB" w:rsidR="00146EBE" w:rsidRDefault="00146EBE" w:rsidP="00146EBE">
      <w:pPr>
        <w:spacing w:afterLines="100" w:after="240"/>
        <w:jc w:val="both"/>
      </w:pPr>
      <w:r w:rsidRPr="00146EBE">
        <w:rPr>
          <w:noProof/>
        </w:rPr>
        <w:drawing>
          <wp:inline distT="0" distB="0" distL="0" distR="0" wp14:anchorId="122636D6" wp14:editId="5F90E4F0">
            <wp:extent cx="5943600" cy="3131185"/>
            <wp:effectExtent l="0" t="0" r="0" b="5715"/>
            <wp:docPr id="204559277" name="Picture 1" descr="A diagram of a biosolids loading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277" name="Picture 1" descr="A diagram of a biosolids loading rate&#10;&#10;AI-generated content may be incorrect."/>
                    <pic:cNvPicPr/>
                  </pic:nvPicPr>
                  <pic:blipFill>
                    <a:blip r:embed="rId9"/>
                    <a:stretch>
                      <a:fillRect/>
                    </a:stretch>
                  </pic:blipFill>
                  <pic:spPr>
                    <a:xfrm>
                      <a:off x="0" y="0"/>
                      <a:ext cx="5943600" cy="3131185"/>
                    </a:xfrm>
                    <a:prstGeom prst="rect">
                      <a:avLst/>
                    </a:prstGeom>
                  </pic:spPr>
                </pic:pic>
              </a:graphicData>
            </a:graphic>
          </wp:inline>
        </w:drawing>
      </w:r>
    </w:p>
    <w:p w14:paraId="581D7838" w14:textId="09E9D604" w:rsidR="00146EBE" w:rsidRPr="00146EBE" w:rsidRDefault="00146EBE" w:rsidP="00146EBE">
      <w:pPr>
        <w:spacing w:afterLines="100" w:after="240"/>
        <w:jc w:val="both"/>
        <w:rPr>
          <w:lang w:val="en-US"/>
        </w:rPr>
      </w:pPr>
      <w:r w:rsidRPr="00146EBE">
        <w:rPr>
          <w:b/>
          <w:bCs/>
        </w:rPr>
        <w:t>Figure S1</w:t>
      </w:r>
      <w:r>
        <w:t xml:space="preserve">. </w:t>
      </w:r>
      <w:r w:rsidRPr="00146EBE">
        <w:t>Modeling Framework for Estimating PFAS Concentrations from Biosolids to Groundwater</w:t>
      </w:r>
    </w:p>
    <w:p w14:paraId="33549BEC" w14:textId="5B072B2E" w:rsidR="00196C4B" w:rsidRPr="00146EBE" w:rsidRDefault="00146EBE" w:rsidP="00146EBE">
      <w:pPr>
        <w:spacing w:afterLines="100" w:after="240"/>
        <w:jc w:val="both"/>
      </w:pPr>
      <w:r>
        <w:t>This approach provides a streamlined method to estimate environmental concentrations of PFAS at various points along the source-to-receptor pathway. It supports site-specific exposure assessment related to land application of biosolids.</w:t>
      </w:r>
    </w:p>
    <w:p w14:paraId="00081078" w14:textId="0D0AD4DB" w:rsidR="00A80915" w:rsidRPr="00A80915" w:rsidRDefault="00A80915" w:rsidP="00901AAD">
      <w:pPr>
        <w:tabs>
          <w:tab w:val="left" w:pos="1411"/>
        </w:tabs>
        <w:spacing w:afterLines="100" w:after="240"/>
        <w:jc w:val="both"/>
        <w:rPr>
          <w:i/>
          <w:iCs/>
          <w:color w:val="000000" w:themeColor="text1"/>
          <w:lang w:eastAsia="en-US"/>
        </w:rPr>
      </w:pPr>
      <w:bookmarkStart w:id="1" w:name="OLE_LINK17"/>
      <w:r w:rsidRPr="00A80915">
        <w:rPr>
          <w:i/>
          <w:iCs/>
          <w:color w:val="000000" w:themeColor="text1"/>
          <w:lang w:eastAsia="en-US"/>
        </w:rPr>
        <w:t>2.1 biosolids-amended soil concentration estimation</w:t>
      </w:r>
    </w:p>
    <w:bookmarkEnd w:id="1"/>
    <w:p w14:paraId="6829EAFC" w14:textId="23C0A070" w:rsidR="00146EBE" w:rsidRDefault="00146EBE" w:rsidP="00901AAD">
      <w:pPr>
        <w:tabs>
          <w:tab w:val="left" w:pos="1411"/>
        </w:tabs>
        <w:spacing w:afterLines="100" w:after="240"/>
        <w:jc w:val="both"/>
        <w:rPr>
          <w:color w:val="000000" w:themeColor="text1"/>
          <w:lang w:eastAsia="en-US"/>
        </w:rPr>
      </w:pPr>
      <w:r w:rsidRPr="00E83C66">
        <w:rPr>
          <w:color w:val="000000" w:themeColor="text1"/>
          <w:lang w:eastAsia="en-US"/>
        </w:rPr>
        <w:t>Two representative agricultural field sites were selected</w:t>
      </w:r>
      <w:r>
        <w:rPr>
          <w:rFonts w:hint="eastAsia"/>
          <w:color w:val="000000" w:themeColor="text1"/>
        </w:rPr>
        <w:t xml:space="preserve"> </w:t>
      </w:r>
      <w:r>
        <w:rPr>
          <w:color w:val="000000" w:themeColor="text1"/>
        </w:rPr>
        <w:t xml:space="preserve">by </w:t>
      </w:r>
      <w:r>
        <w:rPr>
          <w:color w:val="000000" w:themeColor="text1"/>
        </w:rPr>
        <w:fldChar w:fldCharType="begin"/>
      </w:r>
      <w:r>
        <w:rPr>
          <w:color w:val="000000" w:themeColor="text1"/>
        </w:rPr>
        <w:instrText xml:space="preserve"> ADDIN EN.CITE &lt;EndNote&gt;&lt;Cite AuthorYear="1"&gt;&lt;Author&gt;Silva&lt;/Author&gt;&lt;Year&gt;2022&lt;/Year&gt;&lt;RecNum&gt;3&lt;/RecNum&gt;&lt;DisplayText&gt;Silva et al. (2022)&lt;/DisplayText&gt;&lt;record&gt;&lt;rec-number&gt;3&lt;/rec-number&gt;&lt;foreign-keys&gt;&lt;key app="EN" db-id="fvdzdwrv4rwazae20asvzrxwfss5zrtsdext" timestamp="1744917692"&gt;3&lt;/key&gt;&lt;/foreign-keys&gt;&lt;ref-type name="Journal Article"&gt;17&lt;/ref-type&gt;&lt;contributors&gt;&lt;authors&gt;&lt;author&gt;Silva, Jeff A. K.&lt;/author&gt;&lt;author&gt;Guelfo, Jennifer L.&lt;/author&gt;&lt;author&gt;Šimůnek, Jiří&lt;/author&gt;&lt;author&gt;McCray, John E.&lt;/author&gt;&lt;/authors&gt;&lt;/contributors&gt;&lt;titles&gt;&lt;title&gt;Simulated leaching of PFAS from land-applied municipal biosolids at agricultural sites&lt;/title&gt;&lt;secondary-title&gt;Journal of Contaminant Hydrology&lt;/secondary-title&gt;&lt;/titles&gt;&lt;periodical&gt;&lt;full-title&gt;Journal of Contaminant Hydrology&lt;/full-title&gt;&lt;/periodical&gt;&lt;pages&gt;104089&lt;/pages&gt;&lt;volume&gt;251&lt;/volume&gt;&lt;keywords&gt;&lt;keyword&gt;Land-applied biosolids&lt;/keyword&gt;&lt;keyword&gt;PFAS leaching&lt;/keyword&gt;&lt;keyword&gt;PFAS vadose zone transport&lt;/keyword&gt;&lt;keyword&gt;Numerical modeling&lt;/keyword&gt;&lt;keyword&gt;PFAS source term modeling&lt;/keyword&gt;&lt;keyword&gt;Best management practices&lt;/keyword&gt;&lt;/keywords&gt;&lt;dates&gt;&lt;year&gt;2022&lt;/year&gt;&lt;pub-dates&gt;&lt;date&gt;2022/12/01/&lt;/date&gt;&lt;/pub-dates&gt;&lt;/dates&gt;&lt;isbn&gt;0169-7722&lt;/isbn&gt;&lt;urls&gt;&lt;related-urls&gt;&lt;url&gt;https://www.sciencedirect.com/science/article/pii/S0169772222001371&lt;/url&gt;&lt;/related-urls&gt;&lt;/urls&gt;&lt;electronic-resource-num&gt;https://doi.org/10.1016/j.jconhyd.2022.104089&lt;/electronic-resource-num&gt;&lt;/record&gt;&lt;/Cite&gt;&lt;/EndNote&gt;</w:instrText>
      </w:r>
      <w:r>
        <w:rPr>
          <w:color w:val="000000" w:themeColor="text1"/>
        </w:rPr>
        <w:fldChar w:fldCharType="separate"/>
      </w:r>
      <w:r>
        <w:rPr>
          <w:noProof/>
          <w:color w:val="000000" w:themeColor="text1"/>
        </w:rPr>
        <w:t>Silva et al. (2022)</w:t>
      </w:r>
      <w:r>
        <w:rPr>
          <w:color w:val="000000" w:themeColor="text1"/>
        </w:rPr>
        <w:fldChar w:fldCharType="end"/>
      </w:r>
      <w:r w:rsidRPr="00E83C66">
        <w:rPr>
          <w:color w:val="000000" w:themeColor="text1"/>
          <w:lang w:eastAsia="en-US"/>
        </w:rPr>
        <w:t xml:space="preserve"> to simulate biosolids-amended soil conditions: a fine sandy soil (Site K, Chelsea fine sand: mixed, mesic, Alfic Udipsamments) and a heavy clay soil (Site W, Ashkum silty clay loam: fine, mixed, mesic, Typic </w:t>
      </w:r>
      <w:r w:rsidRPr="00E83C66">
        <w:rPr>
          <w:color w:val="000000" w:themeColor="text1"/>
          <w:lang w:eastAsia="en-US"/>
        </w:rPr>
        <w:lastRenderedPageBreak/>
        <w:t>Haplaquolls). These sites were part of a three-year field-scale experiment initiated in Fall 2004 by the Metropolitan Water Reclamation District of Greater Chicago to evaluate the effects of Class B biosolids on soil fertility and corn yield. Detailed site descriptions and experimental design are available in</w:t>
      </w:r>
      <w:r>
        <w:rPr>
          <w:color w:val="000000" w:themeColor="text1"/>
          <w:lang w:eastAsia="en-US"/>
        </w:rPr>
        <w:t xml:space="preserve"> </w:t>
      </w:r>
      <w:r>
        <w:rPr>
          <w:color w:val="000000" w:themeColor="text1"/>
          <w:lang w:eastAsia="en-US"/>
        </w:rPr>
        <w:fldChar w:fldCharType="begin"/>
      </w:r>
      <w:r>
        <w:rPr>
          <w:color w:val="000000" w:themeColor="text1"/>
          <w:lang w:eastAsia="en-US"/>
        </w:rPr>
        <w:instrText xml:space="preserve"> ADDIN EN.CITE &lt;EndNote&gt;&lt;Cite AuthorYear="1"&gt;&lt;Author&gt;Higgins&lt;/Author&gt;&lt;Year&gt;2011&lt;/Year&gt;&lt;RecNum&gt;1&lt;/RecNum&gt;&lt;DisplayText&gt;Higgins et al. (2011)&lt;/DisplayText&gt;&lt;record&gt;&lt;rec-number&gt;1&lt;/rec-number&gt;&lt;foreign-keys&gt;&lt;key app="EN" db-id="fvdzdwrv4rwazae20asvzrxwfss5zrtsdext" timestamp="1744914329"&gt;1&lt;/key&gt;&lt;/foreign-keys&gt;&lt;ref-type name="Journal Article"&gt;17&lt;/ref-type&gt;&lt;contributors&gt;&lt;authors&gt;&lt;author&gt;Higgins, Christopher P.&lt;/author&gt;&lt;author&gt;Paesani, Zachary J.&lt;/author&gt;&lt;author&gt;Abbott Chalew, Talia E.&lt;/author&gt;&lt;author&gt;Halden, Rolf U.&lt;/author&gt;&lt;author&gt;Hundal, Lakhwinder S.&lt;/author&gt;&lt;/authors&gt;&lt;/contributors&gt;&lt;titles&gt;&lt;title&gt;Persistence of triclocarban and triclosan in soils after land application of biosolids and bioaccumulation in &amp;lt;i&amp;gt;Eisenia foetida&amp;lt;/i&amp;gt;&lt;/title&gt;&lt;secondary-title&gt;Environmental Toxicology and Chemistry&lt;/secondary-title&gt;&lt;/titles&gt;&lt;periodical&gt;&lt;full-title&gt;Environmental Toxicology and Chemistry&lt;/full-title&gt;&lt;/periodical&gt;&lt;pages&gt;556-563&lt;/pages&gt;&lt;volume&gt;30&lt;/volume&gt;&lt;number&gt;3&lt;/number&gt;&lt;dates&gt;&lt;year&gt;2011&lt;/year&gt;&lt;/dates&gt;&lt;publisher&gt;Oxford University Press (OUP)&lt;/publisher&gt;&lt;isbn&gt;0730-7268&lt;/isbn&gt;&lt;urls&gt;&lt;related-urls&gt;&lt;url&gt;https://dx.doi.org/10.1002/etc.416&lt;/url&gt;&lt;/related-urls&gt;&lt;/urls&gt;&lt;electronic-resource-num&gt;10.1002/etc.416&lt;/electronic-resource-num&gt;&lt;/record&gt;&lt;/Cite&gt;&lt;/EndNote&gt;</w:instrText>
      </w:r>
      <w:r>
        <w:rPr>
          <w:color w:val="000000" w:themeColor="text1"/>
          <w:lang w:eastAsia="en-US"/>
        </w:rPr>
        <w:fldChar w:fldCharType="separate"/>
      </w:r>
      <w:r>
        <w:rPr>
          <w:noProof/>
          <w:color w:val="000000" w:themeColor="text1"/>
          <w:lang w:eastAsia="en-US"/>
        </w:rPr>
        <w:t>Higgins et al. (2011)</w:t>
      </w:r>
      <w:r>
        <w:rPr>
          <w:color w:val="000000" w:themeColor="text1"/>
          <w:lang w:eastAsia="en-US"/>
        </w:rPr>
        <w:fldChar w:fldCharType="end"/>
      </w:r>
      <w:r w:rsidRPr="00E83C66">
        <w:rPr>
          <w:color w:val="000000" w:themeColor="text1"/>
          <w:lang w:eastAsia="en-US"/>
        </w:rPr>
        <w:t>.</w:t>
      </w:r>
    </w:p>
    <w:p w14:paraId="16DCBCCD" w14:textId="69A7DF2F" w:rsidR="0026436A" w:rsidRPr="0026436A" w:rsidRDefault="0026436A" w:rsidP="00901AAD">
      <w:pPr>
        <w:tabs>
          <w:tab w:val="left" w:pos="1411"/>
        </w:tabs>
        <w:spacing w:afterLines="100" w:after="240"/>
        <w:jc w:val="both"/>
        <w:rPr>
          <w:rFonts w:ascii="SimSun" w:eastAsia="SimSun" w:hAnsi="SimSun" w:cs="SimSun"/>
          <w:color w:val="000000" w:themeColor="text1"/>
          <w:lang w:val="en-US"/>
        </w:rPr>
      </w:pPr>
      <w:r w:rsidRPr="0026436A">
        <w:rPr>
          <w:color w:val="000000" w:themeColor="text1"/>
          <w:lang w:eastAsia="en-US"/>
        </w:rPr>
        <w:t>To parameterize PFAS concentrations in biosolids-amended surface soils, we adopted the linear regression model established by</w:t>
      </w:r>
      <w:r w:rsidR="00EC4A4A">
        <w:rPr>
          <w:color w:val="000000" w:themeColor="text1"/>
          <w:lang w:eastAsia="en-US"/>
        </w:rPr>
        <w:t xml:space="preserve"> </w:t>
      </w:r>
      <w:r w:rsidR="00EC4A4A">
        <w:rPr>
          <w:color w:val="000000" w:themeColor="text1"/>
          <w:lang w:eastAsia="en-US"/>
        </w:rPr>
        <w:fldChar w:fldCharType="begin"/>
      </w:r>
      <w:r w:rsidR="00EC4A4A">
        <w:rPr>
          <w:color w:val="000000" w:themeColor="text1"/>
          <w:lang w:eastAsia="en-US"/>
        </w:rPr>
        <w:instrText xml:space="preserve"> ADDIN EN.CITE &lt;EndNote&gt;&lt;Cite AuthorYear="1"&gt;&lt;Author&gt;Sepulvado&lt;/Author&gt;&lt;Year&gt;2011&lt;/Year&gt;&lt;RecNum&gt;2&lt;/RecNum&gt;&lt;DisplayText&gt;Sepulvado et al. (2011)&lt;/DisplayText&gt;&lt;record&gt;&lt;rec-number&gt;2&lt;/rec-number&gt;&lt;foreign-keys&gt;&lt;key app="EN" db-id="fvdzdwrv4rwazae20asvzrxwfss5zrtsdext" timestamp="1744915012"&gt;2&lt;/key&gt;&lt;/foreign-keys&gt;&lt;ref-type name="Journal Article"&gt;17&lt;/ref-type&gt;&lt;contributors&gt;&lt;authors&gt;&lt;author&gt;Sepulvado, Jennifer G.&lt;/author&gt;&lt;author&gt;Blaine, Andrea C.&lt;/author&gt;&lt;author&gt;Hundal, Lakhwinder S.&lt;/author&gt;&lt;author&gt;Higgins, Christopher P.&lt;/author&gt;&lt;/authors&gt;&lt;/contributors&gt;&lt;titles&gt;&lt;title&gt;Occurrence and Fate of Perfluorochemicals in Soil Following the Land Application of Municipal Biosolids&lt;/title&gt;&lt;secondary-title&gt;Environmental Science &amp;amp;amp; Technology&lt;/secondary-title&gt;&lt;/titles&gt;&lt;periodical&gt;&lt;full-title&gt;Environmental Science &amp;amp;amp; Technology&lt;/full-title&gt;&lt;/periodical&gt;&lt;pages&gt;8106-8112&lt;/pages&gt;&lt;volume&gt;45&lt;/volume&gt;&lt;number&gt;19&lt;/number&gt;&lt;dates&gt;&lt;year&gt;2011&lt;/year&gt;&lt;/dates&gt;&lt;publisher&gt;American Chemical Society (ACS)&lt;/publisher&gt;&lt;isbn&gt;0013-936X&lt;/isbn&gt;&lt;urls&gt;&lt;related-urls&gt;&lt;url&gt;https://dx.doi.org/10.1021/es103903d&lt;/url&gt;&lt;/related-urls&gt;&lt;/urls&gt;&lt;electronic-resource-num&gt;10.1021/es103903d&lt;/electronic-resource-num&gt;&lt;/record&gt;&lt;/Cite&gt;&lt;/EndNote&gt;</w:instrText>
      </w:r>
      <w:r w:rsidR="00EC4A4A">
        <w:rPr>
          <w:color w:val="000000" w:themeColor="text1"/>
          <w:lang w:eastAsia="en-US"/>
        </w:rPr>
        <w:fldChar w:fldCharType="separate"/>
      </w:r>
      <w:r w:rsidR="00EC4A4A">
        <w:rPr>
          <w:noProof/>
          <w:color w:val="000000" w:themeColor="text1"/>
          <w:lang w:eastAsia="en-US"/>
        </w:rPr>
        <w:t>Sepulvado et al. (2011)</w:t>
      </w:r>
      <w:r w:rsidR="00EC4A4A">
        <w:rPr>
          <w:color w:val="000000" w:themeColor="text1"/>
          <w:lang w:eastAsia="en-US"/>
        </w:rPr>
        <w:fldChar w:fldCharType="end"/>
      </w:r>
      <w:r w:rsidRPr="0026436A">
        <w:rPr>
          <w:color w:val="000000" w:themeColor="text1"/>
          <w:lang w:eastAsia="en-US"/>
        </w:rPr>
        <w:t>, which relates the PFAS source strength to the cumulative biosolids loading rate (BLR). Specifically, the biosolids-amended soil concentration of PFAS</w:t>
      </w:r>
      <w:r>
        <w:rPr>
          <w:rFonts w:hint="eastAsia"/>
          <w:color w:val="000000" w:themeColor="text1"/>
        </w:rPr>
        <w:t xml:space="preserve"> </w:t>
      </w:r>
      <w:r>
        <w:rPr>
          <w:color w:val="000000" w:themeColor="text1"/>
          <w:lang w:val="en-US"/>
        </w:rPr>
        <w:t>(</w:t>
      </w:r>
      <m:oMath>
        <m:sSub>
          <m:sSubPr>
            <m:ctrlPr>
              <w:rPr>
                <w:rFonts w:ascii="Cambria Math" w:hAnsi="Cambria Math"/>
                <w:i/>
              </w:rPr>
            </m:ctrlPr>
          </m:sSubPr>
          <m:e>
            <m:r>
              <w:rPr>
                <w:rFonts w:ascii="Cambria Math" w:hAnsi="Cambria Math"/>
              </w:rPr>
              <m:t>S</m:t>
            </m:r>
          </m:e>
          <m:sub>
            <m:r>
              <w:rPr>
                <w:rFonts w:ascii="Cambria Math" w:hAnsi="Cambria Math"/>
              </w:rPr>
              <m:t>BS,PFAS</m:t>
            </m:r>
          </m:sub>
        </m:sSub>
      </m:oMath>
      <w:r>
        <w:t xml:space="preserve">, </w:t>
      </w:r>
      <w:r>
        <w:rPr>
          <w:rFonts w:eastAsiaTheme="minorEastAsia"/>
        </w:rPr>
        <w:t>ng/</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soil</m:t>
            </m:r>
          </m:sub>
        </m:sSub>
      </m:oMath>
      <w:r>
        <w:rPr>
          <w:rFonts w:eastAsiaTheme="minorEastAsia"/>
        </w:rPr>
        <w:t xml:space="preserve">) </w:t>
      </w:r>
      <w:r w:rsidRPr="0026436A">
        <w:rPr>
          <w:rFonts w:eastAsiaTheme="minorEastAsia"/>
        </w:rPr>
        <w:t>is modeled as a linear function of BLR (Mg/ha), expressed as:</w:t>
      </w:r>
    </w:p>
    <w:p w14:paraId="61346954" w14:textId="55E86850" w:rsidR="00B85CCB" w:rsidRPr="00B85CCB" w:rsidRDefault="00000000" w:rsidP="00901AAD">
      <w:pPr>
        <w:tabs>
          <w:tab w:val="left" w:pos="1411"/>
        </w:tabs>
        <w:spacing w:afterLines="100" w:after="240"/>
        <w:jc w:val="both"/>
        <w:rPr>
          <w:rFonts w:eastAsia="SimSun" w:cstheme="minorBidi"/>
        </w:rPr>
      </w:pPr>
      <m:oMathPara>
        <m:oMath>
          <m:eqArr>
            <m:eqArrPr>
              <m:maxDist m:val="1"/>
              <m:ctrlPr>
                <w:rPr>
                  <w:rFonts w:ascii="Cambria Math" w:hAnsi="Cambria Math"/>
                  <w:i/>
                </w:rPr>
              </m:ctrlPr>
            </m:eqArrPr>
            <m:e>
              <w:bookmarkStart w:id="2" w:name="OLE_LINK15"/>
              <m:sSub>
                <m:sSubPr>
                  <m:ctrlPr>
                    <w:rPr>
                      <w:rFonts w:ascii="Cambria Math" w:eastAsia="SimSun" w:hAnsi="Cambria Math" w:cstheme="minorBidi"/>
                      <w:i/>
                      <w:szCs w:val="22"/>
                      <w:lang w:val="en-US"/>
                    </w:rPr>
                  </m:ctrlPr>
                </m:sSubPr>
                <m:e>
                  <m:r>
                    <w:rPr>
                      <w:rFonts w:ascii="Cambria Math" w:hAnsi="Cambria Math"/>
                    </w:rPr>
                    <m:t>S</m:t>
                  </m:r>
                </m:e>
                <m:sub>
                  <m:r>
                    <w:rPr>
                      <w:rFonts w:ascii="Cambria Math" w:hAnsi="Cambria Math"/>
                    </w:rPr>
                    <m:t>BS,PFAS</m:t>
                  </m:r>
                </m:sub>
              </m:sSub>
              <w:bookmarkEnd w:id="2"/>
              <m:r>
                <w:rPr>
                  <w:rFonts w:ascii="Cambria Math" w:hAnsi="Cambria Math"/>
                </w:rPr>
                <m:t>=</m:t>
              </m:r>
              <w:bookmarkStart w:id="3" w:name="OLE_LINK13"/>
              <m:r>
                <w:rPr>
                  <w:rFonts w:ascii="Cambria Math" w:hAnsi="Cambria Math"/>
                </w:rPr>
                <m:t>α</m:t>
              </m:r>
              <w:bookmarkEnd w:id="3"/>
              <m:r>
                <w:rPr>
                  <w:rFonts w:ascii="Cambria Math" w:hAnsi="Cambria Math"/>
                </w:rPr>
                <m:t>×BLR#</m:t>
              </m:r>
              <m:d>
                <m:dPr>
                  <m:ctrlPr>
                    <w:rPr>
                      <w:rFonts w:ascii="Cambria Math" w:hAnsi="Cambria Math"/>
                      <w:i/>
                    </w:rPr>
                  </m:ctrlPr>
                </m:dPr>
                <m:e>
                  <m:r>
                    <w:rPr>
                      <w:rFonts w:ascii="Cambria Math" w:hAnsi="Cambria Math"/>
                    </w:rPr>
                    <m:t>Eq.1</m:t>
                  </m:r>
                </m:e>
              </m:d>
            </m:e>
          </m:eqArr>
        </m:oMath>
      </m:oMathPara>
    </w:p>
    <w:p w14:paraId="1509B20C" w14:textId="76AC7953" w:rsidR="0026436A" w:rsidRDefault="00EC3A4E" w:rsidP="00383AB4">
      <w:pPr>
        <w:spacing w:afterLines="100" w:after="240"/>
        <w:jc w:val="both"/>
      </w:pPr>
      <w:r w:rsidRPr="00EC3A4E">
        <w:t xml:space="preserve">where α is the compound-specific regression slope derived from field observations, representing the increase in soil PFAS concentration per unit increase in biosolids loading. Representative values of α for PFAS compounds of interest in this study were obtained from </w:t>
      </w:r>
      <w:r w:rsidR="00361E79">
        <w:fldChar w:fldCharType="begin"/>
      </w:r>
      <w:r w:rsidR="00361E79">
        <w:instrText xml:space="preserve"> ADDIN EN.CITE &lt;EndNote&gt;&lt;Cite AuthorYear="1"&gt;&lt;Author&gt;Sepulvado&lt;/Author&gt;&lt;Year&gt;2011&lt;/Year&gt;&lt;RecNum&gt;2&lt;/RecNum&gt;&lt;DisplayText&gt;Sepulvado et al. (2011)&lt;/DisplayText&gt;&lt;record&gt;&lt;rec-number&gt;2&lt;/rec-number&gt;&lt;foreign-keys&gt;&lt;key app="EN" db-id="fvdzdwrv4rwazae20asvzrxwfss5zrtsdext" timestamp="1744915012"&gt;2&lt;/key&gt;&lt;/foreign-keys&gt;&lt;ref-type name="Journal Article"&gt;17&lt;/ref-type&gt;&lt;contributors&gt;&lt;authors&gt;&lt;author&gt;Sepulvado, Jennifer G.&lt;/author&gt;&lt;author&gt;Blaine, Andrea C.&lt;/author&gt;&lt;author&gt;Hundal, Lakhwinder S.&lt;/author&gt;&lt;author&gt;Higgins, Christopher P.&lt;/author&gt;&lt;/authors&gt;&lt;/contributors&gt;&lt;titles&gt;&lt;title&gt;Occurrence and Fate of Perfluorochemicals in Soil Following the Land Application of Municipal Biosolids&lt;/title&gt;&lt;secondary-title&gt;Environmental Science &amp;amp;amp; Technology&lt;/secondary-title&gt;&lt;/titles&gt;&lt;periodical&gt;&lt;full-title&gt;Environmental Science &amp;amp;amp; Technology&lt;/full-title&gt;&lt;/periodical&gt;&lt;pages&gt;8106-8112&lt;/pages&gt;&lt;volume&gt;45&lt;/volume&gt;&lt;number&gt;19&lt;/number&gt;&lt;dates&gt;&lt;year&gt;2011&lt;/year&gt;&lt;/dates&gt;&lt;publisher&gt;American Chemical Society (ACS)&lt;/publisher&gt;&lt;isbn&gt;0013-936X&lt;/isbn&gt;&lt;urls&gt;&lt;related-urls&gt;&lt;url&gt;https://dx.doi.org/10.1021/es103903d&lt;/url&gt;&lt;/related-urls&gt;&lt;/urls&gt;&lt;electronic-resource-num&gt;10.1021/es103903d&lt;/electronic-resource-num&gt;&lt;/record&gt;&lt;/Cite&gt;&lt;/EndNote&gt;</w:instrText>
      </w:r>
      <w:r w:rsidR="00361E79">
        <w:fldChar w:fldCharType="separate"/>
      </w:r>
      <w:r w:rsidR="00361E79">
        <w:rPr>
          <w:noProof/>
        </w:rPr>
        <w:t>Sepulvado et al. (2011)</w:t>
      </w:r>
      <w:r w:rsidR="00361E79">
        <w:fldChar w:fldCharType="end"/>
      </w:r>
      <w:r w:rsidR="00361E79">
        <w:t xml:space="preserve"> </w:t>
      </w:r>
      <w:r w:rsidRPr="00EC3A4E">
        <w:t>and are summarized in Table S1.</w:t>
      </w:r>
    </w:p>
    <w:p w14:paraId="26CA86B7" w14:textId="37691B5B" w:rsidR="00EC3A4E" w:rsidRDefault="00EC3A4E" w:rsidP="00383AB4">
      <w:pPr>
        <w:spacing w:afterLines="100" w:after="240"/>
        <w:jc w:val="both"/>
      </w:pPr>
      <w:r w:rsidRPr="00EC3A4E">
        <w:t xml:space="preserve">To account for background contamination, the total PFAS concentration in amended soils was calculated as the sum of the modeled PFAS contribution from biosolids </w:t>
      </w:r>
      <w:r>
        <w:t>(</w:t>
      </w:r>
      <m:oMath>
        <m:sSub>
          <m:sSubPr>
            <m:ctrlPr>
              <w:rPr>
                <w:rFonts w:ascii="Cambria Math" w:hAnsi="Cambria Math"/>
                <w:i/>
              </w:rPr>
            </m:ctrlPr>
          </m:sSubPr>
          <m:e>
            <m:r>
              <w:rPr>
                <w:rFonts w:ascii="Cambria Math" w:hAnsi="Cambria Math"/>
              </w:rPr>
              <m:t>S</m:t>
            </m:r>
          </m:e>
          <m:sub>
            <m:r>
              <w:rPr>
                <w:rFonts w:ascii="Cambria Math" w:hAnsi="Cambria Math"/>
              </w:rPr>
              <m:t>BS,PFAS</m:t>
            </m:r>
          </m:sub>
        </m:sSub>
      </m:oMath>
      <w:r>
        <w:t xml:space="preserve">) </w:t>
      </w:r>
      <w:r w:rsidRPr="00EC3A4E">
        <w:t>and the baseline PFAS concentration in unamended soils (</w:t>
      </w:r>
      <w:r>
        <w:t>S</w:t>
      </w:r>
      <w:r w:rsidRPr="00EC3A4E">
        <w:rPr>
          <w:vertAlign w:val="subscript"/>
        </w:rPr>
        <w:t>0</w:t>
      </w:r>
      <w:r>
        <w:t xml:space="preserve">): </w:t>
      </w:r>
    </w:p>
    <w:p w14:paraId="224C80FD" w14:textId="0939907D" w:rsidR="00EC3A4E" w:rsidRDefault="00000000" w:rsidP="00383AB4">
      <w:pPr>
        <w:spacing w:afterLines="100" w:after="240"/>
        <w:jc w:val="both"/>
      </w:pPr>
      <m:oMathPara>
        <m:oMath>
          <m:eqArr>
            <m:eqArrPr>
              <m:maxDist m:val="1"/>
              <m:ctrlPr>
                <w:rPr>
                  <w:rFonts w:ascii="Cambria Math" w:hAnsi="Cambria Math"/>
                  <w:i/>
                </w:rPr>
              </m:ctrlPr>
            </m:eqArrPr>
            <m:e>
              <m:sSub>
                <m:sSubPr>
                  <m:ctrlPr>
                    <w:rPr>
                      <w:rFonts w:ascii="Cambria Math" w:eastAsia="SimSun" w:hAnsi="Cambria Math" w:cstheme="minorBidi"/>
                      <w:i/>
                      <w:szCs w:val="22"/>
                      <w:lang w:val="en-US"/>
                    </w:rPr>
                  </m:ctrlPr>
                </m:sSubPr>
                <m:e>
                  <m:r>
                    <w:rPr>
                      <w:rFonts w:ascii="Cambria Math" w:hAnsi="Cambria Math"/>
                    </w:rPr>
                    <m:t>S</m:t>
                  </m:r>
                </m:e>
                <m:sub>
                  <m:r>
                    <w:rPr>
                      <w:rFonts w:ascii="Cambria Math" w:hAnsi="Cambria Math"/>
                    </w:rPr>
                    <m:t>Total</m:t>
                  </m:r>
                </m:sub>
              </m:sSub>
              <m:r>
                <w:rPr>
                  <w:rFonts w:ascii="Cambria Math" w:hAnsi="Cambria Math"/>
                </w:rPr>
                <m:t>=</m:t>
              </m:r>
              <m:sSub>
                <m:sSubPr>
                  <m:ctrlPr>
                    <w:rPr>
                      <w:rFonts w:ascii="Cambria Math" w:eastAsia="SimSun" w:hAnsi="Cambria Math" w:cstheme="minorBidi"/>
                      <w:i/>
                      <w:szCs w:val="22"/>
                      <w:lang w:val="en-US"/>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eastAsia="SimSun" w:hAnsi="Cambria Math" w:cstheme="minorBidi"/>
                      <w:i/>
                      <w:szCs w:val="22"/>
                      <w:lang w:val="en-US"/>
                    </w:rPr>
                  </m:ctrlPr>
                </m:sSubPr>
                <m:e>
                  <m:r>
                    <w:rPr>
                      <w:rFonts w:ascii="Cambria Math" w:hAnsi="Cambria Math"/>
                    </w:rPr>
                    <m:t>S</m:t>
                  </m:r>
                </m:e>
                <m:sub>
                  <m:r>
                    <w:rPr>
                      <w:rFonts w:ascii="Cambria Math" w:hAnsi="Cambria Math"/>
                    </w:rPr>
                    <m:t>BS,PFAS</m:t>
                  </m:r>
                </m:sub>
              </m:sSub>
              <m:r>
                <w:rPr>
                  <w:rFonts w:ascii="Cambria Math" w:hAnsi="Cambria Math"/>
                </w:rPr>
                <m:t>#</m:t>
              </m:r>
              <m:d>
                <m:dPr>
                  <m:ctrlPr>
                    <w:rPr>
                      <w:rFonts w:ascii="Cambria Math" w:hAnsi="Cambria Math"/>
                      <w:i/>
                    </w:rPr>
                  </m:ctrlPr>
                </m:dPr>
                <m:e>
                  <m:r>
                    <w:rPr>
                      <w:rFonts w:ascii="Cambria Math" w:hAnsi="Cambria Math"/>
                    </w:rPr>
                    <m:t>Eq.2</m:t>
                  </m:r>
                </m:e>
              </m:d>
            </m:e>
          </m:eqArr>
        </m:oMath>
      </m:oMathPara>
    </w:p>
    <w:p w14:paraId="29A58CEE" w14:textId="6F335F69" w:rsidR="00B85CCB" w:rsidRPr="008644B6" w:rsidRDefault="00B85CCB" w:rsidP="00375C92">
      <w:pPr>
        <w:tabs>
          <w:tab w:val="left" w:pos="6031"/>
        </w:tabs>
        <w:jc w:val="both"/>
        <w:rPr>
          <w:i/>
          <w:iCs/>
          <w:color w:val="000000" w:themeColor="text1"/>
        </w:rPr>
      </w:pPr>
      <w:r w:rsidRPr="008644B6">
        <w:rPr>
          <w:rFonts w:hint="eastAsia"/>
          <w:b/>
          <w:bCs/>
          <w:color w:val="000000" w:themeColor="text1"/>
        </w:rPr>
        <w:t>Table S1</w:t>
      </w:r>
      <w:r>
        <w:rPr>
          <w:rFonts w:hint="eastAsia"/>
          <w:color w:val="000000" w:themeColor="text1"/>
        </w:rPr>
        <w:t xml:space="preserve">. </w:t>
      </w:r>
      <w:r w:rsidR="008644B6" w:rsidRPr="008644B6">
        <w:rPr>
          <w:i/>
          <w:iCs/>
          <w:color w:val="000000" w:themeColor="text1"/>
          <w:szCs w:val="22"/>
        </w:rPr>
        <w:t>Regressions for PFAS soil concentration with loading rate (from Sepulvado et al., 2011).</w:t>
      </w:r>
    </w:p>
    <w:tbl>
      <w:tblPr>
        <w:tblW w:w="3780" w:type="dxa"/>
        <w:jc w:val="center"/>
        <w:tblLook w:val="04A0" w:firstRow="1" w:lastRow="0" w:firstColumn="1" w:lastColumn="0" w:noHBand="0" w:noVBand="1"/>
      </w:tblPr>
      <w:tblGrid>
        <w:gridCol w:w="960"/>
        <w:gridCol w:w="2100"/>
        <w:gridCol w:w="720"/>
      </w:tblGrid>
      <w:tr w:rsidR="00B85CCB" w:rsidRPr="00B85CCB" w14:paraId="65D1630D" w14:textId="77777777" w:rsidTr="00375C92">
        <w:trPr>
          <w:trHeight w:val="320"/>
          <w:jc w:val="center"/>
        </w:trPr>
        <w:tc>
          <w:tcPr>
            <w:tcW w:w="960" w:type="dxa"/>
            <w:tcBorders>
              <w:top w:val="single" w:sz="8" w:space="0" w:color="auto"/>
              <w:left w:val="nil"/>
              <w:bottom w:val="single" w:sz="4" w:space="0" w:color="auto"/>
              <w:right w:val="nil"/>
            </w:tcBorders>
            <w:shd w:val="clear" w:color="auto" w:fill="auto"/>
            <w:noWrap/>
            <w:vAlign w:val="center"/>
            <w:hideMark/>
          </w:tcPr>
          <w:p w14:paraId="174DA6C6" w14:textId="77777777" w:rsidR="00B85CCB" w:rsidRPr="00B85CCB" w:rsidRDefault="00B85CCB" w:rsidP="00B85CCB">
            <w:pPr>
              <w:jc w:val="center"/>
              <w:rPr>
                <w:rFonts w:eastAsia="DengXian"/>
                <w:b/>
                <w:bCs/>
                <w:color w:val="000000"/>
              </w:rPr>
            </w:pPr>
            <w:r w:rsidRPr="00B85CCB">
              <w:rPr>
                <w:rFonts w:eastAsia="DengXian"/>
                <w:b/>
                <w:bCs/>
                <w:color w:val="000000"/>
              </w:rPr>
              <w:t>PFAS</w:t>
            </w:r>
          </w:p>
        </w:tc>
        <w:tc>
          <w:tcPr>
            <w:tcW w:w="2100" w:type="dxa"/>
            <w:tcBorders>
              <w:top w:val="single" w:sz="8" w:space="0" w:color="auto"/>
              <w:left w:val="nil"/>
              <w:bottom w:val="single" w:sz="4" w:space="0" w:color="auto"/>
              <w:right w:val="nil"/>
            </w:tcBorders>
            <w:shd w:val="clear" w:color="auto" w:fill="auto"/>
            <w:noWrap/>
            <w:vAlign w:val="center"/>
            <w:hideMark/>
          </w:tcPr>
          <w:p w14:paraId="1903BA12" w14:textId="77777777" w:rsidR="00B85CCB" w:rsidRPr="00B85CCB" w:rsidRDefault="00B85CCB" w:rsidP="00B85CCB">
            <w:pPr>
              <w:jc w:val="center"/>
              <w:rPr>
                <w:rFonts w:eastAsia="DengXian"/>
                <w:b/>
                <w:bCs/>
                <w:color w:val="000000"/>
              </w:rPr>
            </w:pPr>
            <w:r w:rsidRPr="00B85CCB">
              <w:rPr>
                <w:rFonts w:eastAsia="DengXian"/>
                <w:b/>
                <w:bCs/>
                <w:color w:val="000000"/>
              </w:rPr>
              <w:t>Regression Slope</w:t>
            </w:r>
          </w:p>
        </w:tc>
        <w:tc>
          <w:tcPr>
            <w:tcW w:w="720" w:type="dxa"/>
            <w:tcBorders>
              <w:top w:val="single" w:sz="8" w:space="0" w:color="auto"/>
              <w:left w:val="nil"/>
              <w:bottom w:val="single" w:sz="4" w:space="0" w:color="auto"/>
              <w:right w:val="nil"/>
            </w:tcBorders>
            <w:shd w:val="clear" w:color="auto" w:fill="auto"/>
            <w:noWrap/>
            <w:vAlign w:val="center"/>
            <w:hideMark/>
          </w:tcPr>
          <w:p w14:paraId="3F060A99" w14:textId="77777777" w:rsidR="00B85CCB" w:rsidRPr="00B85CCB" w:rsidRDefault="00B85CCB" w:rsidP="00B85CCB">
            <w:pPr>
              <w:jc w:val="center"/>
              <w:rPr>
                <w:rFonts w:eastAsia="DengXian"/>
                <w:b/>
                <w:bCs/>
                <w:color w:val="000000"/>
              </w:rPr>
            </w:pPr>
            <w:r w:rsidRPr="00B85CCB">
              <w:rPr>
                <w:rFonts w:eastAsia="DengXian"/>
                <w:b/>
                <w:bCs/>
                <w:color w:val="000000"/>
              </w:rPr>
              <w:t>R²</w:t>
            </w:r>
          </w:p>
        </w:tc>
      </w:tr>
      <w:tr w:rsidR="00B85CCB" w:rsidRPr="00B85CCB" w14:paraId="51CE5181" w14:textId="77777777" w:rsidTr="00375C92">
        <w:trPr>
          <w:trHeight w:val="320"/>
          <w:jc w:val="center"/>
        </w:trPr>
        <w:tc>
          <w:tcPr>
            <w:tcW w:w="960" w:type="dxa"/>
            <w:tcBorders>
              <w:top w:val="nil"/>
              <w:left w:val="nil"/>
              <w:bottom w:val="nil"/>
              <w:right w:val="nil"/>
            </w:tcBorders>
            <w:shd w:val="clear" w:color="auto" w:fill="auto"/>
            <w:noWrap/>
            <w:vAlign w:val="center"/>
            <w:hideMark/>
          </w:tcPr>
          <w:p w14:paraId="2CD1D0E7" w14:textId="77777777" w:rsidR="00B85CCB" w:rsidRPr="00B85CCB" w:rsidRDefault="00B85CCB" w:rsidP="00B85CCB">
            <w:pPr>
              <w:jc w:val="center"/>
              <w:rPr>
                <w:rFonts w:eastAsia="DengXian"/>
                <w:color w:val="000000"/>
              </w:rPr>
            </w:pPr>
            <w:r w:rsidRPr="00B85CCB">
              <w:rPr>
                <w:rFonts w:eastAsia="DengXian"/>
                <w:color w:val="000000"/>
              </w:rPr>
              <w:t>PFHxA</w:t>
            </w:r>
          </w:p>
        </w:tc>
        <w:tc>
          <w:tcPr>
            <w:tcW w:w="2100" w:type="dxa"/>
            <w:tcBorders>
              <w:top w:val="nil"/>
              <w:left w:val="nil"/>
              <w:bottom w:val="nil"/>
              <w:right w:val="nil"/>
            </w:tcBorders>
            <w:shd w:val="clear" w:color="auto" w:fill="auto"/>
            <w:noWrap/>
            <w:vAlign w:val="center"/>
            <w:hideMark/>
          </w:tcPr>
          <w:p w14:paraId="0847E5F8" w14:textId="77777777" w:rsidR="00B85CCB" w:rsidRPr="00B85CCB" w:rsidRDefault="00B85CCB" w:rsidP="00B85CCB">
            <w:pPr>
              <w:jc w:val="center"/>
              <w:rPr>
                <w:rFonts w:eastAsia="DengXian"/>
                <w:color w:val="000000"/>
              </w:rPr>
            </w:pPr>
            <w:r w:rsidRPr="00B85CCB">
              <w:rPr>
                <w:rFonts w:eastAsia="DengXian"/>
                <w:color w:val="000000"/>
              </w:rPr>
              <w:t>0.003</w:t>
            </w:r>
          </w:p>
        </w:tc>
        <w:tc>
          <w:tcPr>
            <w:tcW w:w="720" w:type="dxa"/>
            <w:tcBorders>
              <w:top w:val="nil"/>
              <w:left w:val="nil"/>
              <w:bottom w:val="nil"/>
              <w:right w:val="nil"/>
            </w:tcBorders>
            <w:shd w:val="clear" w:color="auto" w:fill="auto"/>
            <w:noWrap/>
            <w:vAlign w:val="center"/>
            <w:hideMark/>
          </w:tcPr>
          <w:p w14:paraId="494E0979" w14:textId="77777777" w:rsidR="00B85CCB" w:rsidRPr="00B85CCB" w:rsidRDefault="00B85CCB" w:rsidP="00B85CCB">
            <w:pPr>
              <w:jc w:val="center"/>
              <w:rPr>
                <w:rFonts w:eastAsia="DengXian"/>
                <w:color w:val="000000"/>
              </w:rPr>
            </w:pPr>
            <w:r w:rsidRPr="00B85CCB">
              <w:rPr>
                <w:rFonts w:eastAsia="DengXian"/>
                <w:color w:val="000000"/>
              </w:rPr>
              <w:t>0.84</w:t>
            </w:r>
          </w:p>
        </w:tc>
      </w:tr>
      <w:tr w:rsidR="00B85CCB" w:rsidRPr="00B85CCB" w14:paraId="4B64E488" w14:textId="77777777" w:rsidTr="00375C92">
        <w:trPr>
          <w:trHeight w:val="320"/>
          <w:jc w:val="center"/>
        </w:trPr>
        <w:tc>
          <w:tcPr>
            <w:tcW w:w="960" w:type="dxa"/>
            <w:tcBorders>
              <w:top w:val="nil"/>
              <w:left w:val="nil"/>
              <w:bottom w:val="nil"/>
              <w:right w:val="nil"/>
            </w:tcBorders>
            <w:shd w:val="clear" w:color="auto" w:fill="auto"/>
            <w:noWrap/>
            <w:vAlign w:val="center"/>
            <w:hideMark/>
          </w:tcPr>
          <w:p w14:paraId="7319A6F0" w14:textId="77777777" w:rsidR="00B85CCB" w:rsidRPr="00B85CCB" w:rsidRDefault="00B85CCB" w:rsidP="00B85CCB">
            <w:pPr>
              <w:jc w:val="center"/>
              <w:rPr>
                <w:rFonts w:eastAsia="DengXian"/>
                <w:color w:val="000000"/>
              </w:rPr>
            </w:pPr>
            <w:r w:rsidRPr="00B85CCB">
              <w:rPr>
                <w:rFonts w:eastAsia="DengXian"/>
                <w:color w:val="000000"/>
              </w:rPr>
              <w:t>PFHpA</w:t>
            </w:r>
          </w:p>
        </w:tc>
        <w:tc>
          <w:tcPr>
            <w:tcW w:w="2100" w:type="dxa"/>
            <w:tcBorders>
              <w:top w:val="nil"/>
              <w:left w:val="nil"/>
              <w:bottom w:val="nil"/>
              <w:right w:val="nil"/>
            </w:tcBorders>
            <w:shd w:val="clear" w:color="auto" w:fill="auto"/>
            <w:noWrap/>
            <w:vAlign w:val="center"/>
            <w:hideMark/>
          </w:tcPr>
          <w:p w14:paraId="3A2646AA" w14:textId="77777777" w:rsidR="00B85CCB" w:rsidRPr="00B85CCB" w:rsidRDefault="00B85CCB" w:rsidP="00B85CCB">
            <w:pPr>
              <w:jc w:val="center"/>
              <w:rPr>
                <w:rFonts w:eastAsia="DengXian"/>
                <w:color w:val="000000"/>
              </w:rPr>
            </w:pPr>
            <w:r w:rsidRPr="00B85CCB">
              <w:rPr>
                <w:rFonts w:eastAsia="DengXian"/>
                <w:color w:val="000000"/>
              </w:rPr>
              <w:t>0.003</w:t>
            </w:r>
          </w:p>
        </w:tc>
        <w:tc>
          <w:tcPr>
            <w:tcW w:w="720" w:type="dxa"/>
            <w:tcBorders>
              <w:top w:val="nil"/>
              <w:left w:val="nil"/>
              <w:bottom w:val="nil"/>
              <w:right w:val="nil"/>
            </w:tcBorders>
            <w:shd w:val="clear" w:color="auto" w:fill="auto"/>
            <w:noWrap/>
            <w:vAlign w:val="center"/>
            <w:hideMark/>
          </w:tcPr>
          <w:p w14:paraId="6971BCCD" w14:textId="77777777" w:rsidR="00B85CCB" w:rsidRPr="00B85CCB" w:rsidRDefault="00B85CCB" w:rsidP="00B85CCB">
            <w:pPr>
              <w:jc w:val="center"/>
              <w:rPr>
                <w:rFonts w:eastAsia="DengXian"/>
                <w:color w:val="000000"/>
              </w:rPr>
            </w:pPr>
            <w:r w:rsidRPr="00B85CCB">
              <w:rPr>
                <w:rFonts w:eastAsia="DengXian"/>
                <w:color w:val="000000"/>
              </w:rPr>
              <w:t>0.92</w:t>
            </w:r>
          </w:p>
        </w:tc>
      </w:tr>
      <w:tr w:rsidR="00B85CCB" w:rsidRPr="00B85CCB" w14:paraId="5B45D1A3" w14:textId="77777777" w:rsidTr="00375C92">
        <w:trPr>
          <w:trHeight w:val="320"/>
          <w:jc w:val="center"/>
        </w:trPr>
        <w:tc>
          <w:tcPr>
            <w:tcW w:w="960" w:type="dxa"/>
            <w:tcBorders>
              <w:top w:val="nil"/>
              <w:left w:val="nil"/>
              <w:bottom w:val="nil"/>
              <w:right w:val="nil"/>
            </w:tcBorders>
            <w:shd w:val="clear" w:color="auto" w:fill="auto"/>
            <w:noWrap/>
            <w:vAlign w:val="center"/>
            <w:hideMark/>
          </w:tcPr>
          <w:p w14:paraId="78A009FF" w14:textId="77777777" w:rsidR="00B85CCB" w:rsidRPr="00B85CCB" w:rsidRDefault="00B85CCB" w:rsidP="00B85CCB">
            <w:pPr>
              <w:jc w:val="center"/>
              <w:rPr>
                <w:rFonts w:eastAsia="DengXian"/>
                <w:color w:val="000000"/>
              </w:rPr>
            </w:pPr>
            <w:r w:rsidRPr="00B85CCB">
              <w:rPr>
                <w:rFonts w:eastAsia="DengXian"/>
                <w:color w:val="000000"/>
              </w:rPr>
              <w:t>PFOA</w:t>
            </w:r>
          </w:p>
        </w:tc>
        <w:tc>
          <w:tcPr>
            <w:tcW w:w="2100" w:type="dxa"/>
            <w:tcBorders>
              <w:top w:val="nil"/>
              <w:left w:val="nil"/>
              <w:bottom w:val="nil"/>
              <w:right w:val="nil"/>
            </w:tcBorders>
            <w:shd w:val="clear" w:color="auto" w:fill="auto"/>
            <w:noWrap/>
            <w:vAlign w:val="center"/>
            <w:hideMark/>
          </w:tcPr>
          <w:p w14:paraId="2EAC7E9D" w14:textId="77777777" w:rsidR="00B85CCB" w:rsidRPr="00B85CCB" w:rsidRDefault="00B85CCB" w:rsidP="00B85CCB">
            <w:pPr>
              <w:jc w:val="center"/>
              <w:rPr>
                <w:rFonts w:eastAsia="DengXian"/>
                <w:color w:val="000000"/>
              </w:rPr>
            </w:pPr>
            <w:r w:rsidRPr="00B85CCB">
              <w:rPr>
                <w:rFonts w:eastAsia="DengXian"/>
                <w:color w:val="000000"/>
              </w:rPr>
              <w:t>0.015</w:t>
            </w:r>
          </w:p>
        </w:tc>
        <w:tc>
          <w:tcPr>
            <w:tcW w:w="720" w:type="dxa"/>
            <w:tcBorders>
              <w:top w:val="nil"/>
              <w:left w:val="nil"/>
              <w:bottom w:val="nil"/>
              <w:right w:val="nil"/>
            </w:tcBorders>
            <w:shd w:val="clear" w:color="auto" w:fill="auto"/>
            <w:noWrap/>
            <w:vAlign w:val="center"/>
            <w:hideMark/>
          </w:tcPr>
          <w:p w14:paraId="2A8213FE" w14:textId="77777777" w:rsidR="00B85CCB" w:rsidRPr="00B85CCB" w:rsidRDefault="00B85CCB" w:rsidP="00B85CCB">
            <w:pPr>
              <w:jc w:val="center"/>
              <w:rPr>
                <w:rFonts w:eastAsia="DengXian"/>
                <w:color w:val="000000"/>
              </w:rPr>
            </w:pPr>
            <w:r w:rsidRPr="00B85CCB">
              <w:rPr>
                <w:rFonts w:eastAsia="DengXian"/>
                <w:color w:val="000000"/>
              </w:rPr>
              <w:t>0.94</w:t>
            </w:r>
          </w:p>
        </w:tc>
      </w:tr>
      <w:tr w:rsidR="00B85CCB" w:rsidRPr="00B85CCB" w14:paraId="53FC95F5" w14:textId="77777777" w:rsidTr="00375C92">
        <w:trPr>
          <w:trHeight w:val="320"/>
          <w:jc w:val="center"/>
        </w:trPr>
        <w:tc>
          <w:tcPr>
            <w:tcW w:w="960" w:type="dxa"/>
            <w:tcBorders>
              <w:top w:val="nil"/>
              <w:left w:val="nil"/>
              <w:bottom w:val="nil"/>
              <w:right w:val="nil"/>
            </w:tcBorders>
            <w:shd w:val="clear" w:color="auto" w:fill="auto"/>
            <w:noWrap/>
            <w:vAlign w:val="center"/>
            <w:hideMark/>
          </w:tcPr>
          <w:p w14:paraId="2088364E" w14:textId="77777777" w:rsidR="00B85CCB" w:rsidRPr="00B85CCB" w:rsidRDefault="00B85CCB" w:rsidP="00B85CCB">
            <w:pPr>
              <w:jc w:val="center"/>
              <w:rPr>
                <w:rFonts w:eastAsia="DengXian"/>
                <w:color w:val="000000"/>
              </w:rPr>
            </w:pPr>
            <w:r w:rsidRPr="00B85CCB">
              <w:rPr>
                <w:rFonts w:eastAsia="DengXian"/>
                <w:color w:val="000000"/>
              </w:rPr>
              <w:t>PFNA</w:t>
            </w:r>
          </w:p>
        </w:tc>
        <w:tc>
          <w:tcPr>
            <w:tcW w:w="2100" w:type="dxa"/>
            <w:tcBorders>
              <w:top w:val="nil"/>
              <w:left w:val="nil"/>
              <w:bottom w:val="nil"/>
              <w:right w:val="nil"/>
            </w:tcBorders>
            <w:shd w:val="clear" w:color="auto" w:fill="auto"/>
            <w:noWrap/>
            <w:vAlign w:val="center"/>
            <w:hideMark/>
          </w:tcPr>
          <w:p w14:paraId="24980AE1" w14:textId="77777777" w:rsidR="00B85CCB" w:rsidRPr="00B85CCB" w:rsidRDefault="00B85CCB" w:rsidP="00B85CCB">
            <w:pPr>
              <w:jc w:val="center"/>
              <w:rPr>
                <w:rFonts w:eastAsia="DengXian"/>
                <w:color w:val="000000"/>
              </w:rPr>
            </w:pPr>
            <w:r w:rsidRPr="00B85CCB">
              <w:rPr>
                <w:rFonts w:eastAsia="DengXian"/>
                <w:color w:val="000000"/>
              </w:rPr>
              <w:t>0.003</w:t>
            </w:r>
          </w:p>
        </w:tc>
        <w:tc>
          <w:tcPr>
            <w:tcW w:w="720" w:type="dxa"/>
            <w:tcBorders>
              <w:top w:val="nil"/>
              <w:left w:val="nil"/>
              <w:bottom w:val="nil"/>
              <w:right w:val="nil"/>
            </w:tcBorders>
            <w:shd w:val="clear" w:color="auto" w:fill="auto"/>
            <w:noWrap/>
            <w:vAlign w:val="center"/>
            <w:hideMark/>
          </w:tcPr>
          <w:p w14:paraId="77E62A95" w14:textId="77777777" w:rsidR="00B85CCB" w:rsidRPr="00B85CCB" w:rsidRDefault="00B85CCB" w:rsidP="00B85CCB">
            <w:pPr>
              <w:jc w:val="center"/>
              <w:rPr>
                <w:rFonts w:eastAsia="DengXian"/>
                <w:color w:val="000000"/>
              </w:rPr>
            </w:pPr>
            <w:r w:rsidRPr="00B85CCB">
              <w:rPr>
                <w:rFonts w:eastAsia="DengXian"/>
                <w:color w:val="000000"/>
              </w:rPr>
              <w:t>0.94</w:t>
            </w:r>
          </w:p>
        </w:tc>
      </w:tr>
      <w:tr w:rsidR="00B85CCB" w:rsidRPr="00B85CCB" w14:paraId="1E030853" w14:textId="77777777" w:rsidTr="00375C92">
        <w:trPr>
          <w:trHeight w:val="320"/>
          <w:jc w:val="center"/>
        </w:trPr>
        <w:tc>
          <w:tcPr>
            <w:tcW w:w="960" w:type="dxa"/>
            <w:tcBorders>
              <w:top w:val="nil"/>
              <w:left w:val="nil"/>
              <w:bottom w:val="nil"/>
              <w:right w:val="nil"/>
            </w:tcBorders>
            <w:shd w:val="clear" w:color="auto" w:fill="auto"/>
            <w:noWrap/>
            <w:vAlign w:val="center"/>
            <w:hideMark/>
          </w:tcPr>
          <w:p w14:paraId="1C11AD33" w14:textId="77777777" w:rsidR="00B85CCB" w:rsidRPr="00B85CCB" w:rsidRDefault="00B85CCB" w:rsidP="00B85CCB">
            <w:pPr>
              <w:jc w:val="center"/>
              <w:rPr>
                <w:rFonts w:eastAsia="DengXian"/>
                <w:color w:val="000000"/>
              </w:rPr>
            </w:pPr>
            <w:r w:rsidRPr="00B85CCB">
              <w:rPr>
                <w:rFonts w:eastAsia="DengXian"/>
                <w:color w:val="000000"/>
              </w:rPr>
              <w:t>PFDA</w:t>
            </w:r>
          </w:p>
        </w:tc>
        <w:tc>
          <w:tcPr>
            <w:tcW w:w="2100" w:type="dxa"/>
            <w:tcBorders>
              <w:top w:val="nil"/>
              <w:left w:val="nil"/>
              <w:bottom w:val="nil"/>
              <w:right w:val="nil"/>
            </w:tcBorders>
            <w:shd w:val="clear" w:color="auto" w:fill="auto"/>
            <w:noWrap/>
            <w:vAlign w:val="center"/>
            <w:hideMark/>
          </w:tcPr>
          <w:p w14:paraId="6D2E4528" w14:textId="77777777" w:rsidR="00B85CCB" w:rsidRPr="00B85CCB" w:rsidRDefault="00B85CCB" w:rsidP="00B85CCB">
            <w:pPr>
              <w:jc w:val="center"/>
              <w:rPr>
                <w:rFonts w:eastAsia="DengXian"/>
                <w:color w:val="000000"/>
              </w:rPr>
            </w:pPr>
            <w:r w:rsidRPr="00B85CCB">
              <w:rPr>
                <w:rFonts w:eastAsia="DengXian"/>
                <w:color w:val="000000"/>
              </w:rPr>
              <w:t>0.009</w:t>
            </w:r>
          </w:p>
        </w:tc>
        <w:tc>
          <w:tcPr>
            <w:tcW w:w="720" w:type="dxa"/>
            <w:tcBorders>
              <w:top w:val="nil"/>
              <w:left w:val="nil"/>
              <w:bottom w:val="nil"/>
              <w:right w:val="nil"/>
            </w:tcBorders>
            <w:shd w:val="clear" w:color="auto" w:fill="auto"/>
            <w:noWrap/>
            <w:vAlign w:val="center"/>
            <w:hideMark/>
          </w:tcPr>
          <w:p w14:paraId="23200240" w14:textId="77777777" w:rsidR="00B85CCB" w:rsidRPr="00B85CCB" w:rsidRDefault="00B85CCB" w:rsidP="00B85CCB">
            <w:pPr>
              <w:jc w:val="center"/>
              <w:rPr>
                <w:rFonts w:eastAsia="DengXian"/>
                <w:color w:val="000000"/>
              </w:rPr>
            </w:pPr>
            <w:r w:rsidRPr="00B85CCB">
              <w:rPr>
                <w:rFonts w:eastAsia="DengXian"/>
                <w:color w:val="000000"/>
              </w:rPr>
              <w:t>0.97</w:t>
            </w:r>
          </w:p>
        </w:tc>
      </w:tr>
      <w:tr w:rsidR="00B85CCB" w:rsidRPr="00B85CCB" w14:paraId="7A1D4234" w14:textId="77777777" w:rsidTr="00375C92">
        <w:trPr>
          <w:trHeight w:val="320"/>
          <w:jc w:val="center"/>
        </w:trPr>
        <w:tc>
          <w:tcPr>
            <w:tcW w:w="960" w:type="dxa"/>
            <w:tcBorders>
              <w:top w:val="nil"/>
              <w:left w:val="nil"/>
              <w:bottom w:val="nil"/>
              <w:right w:val="nil"/>
            </w:tcBorders>
            <w:shd w:val="clear" w:color="auto" w:fill="auto"/>
            <w:noWrap/>
            <w:vAlign w:val="center"/>
            <w:hideMark/>
          </w:tcPr>
          <w:p w14:paraId="75631F08" w14:textId="77777777" w:rsidR="00B85CCB" w:rsidRPr="00B85CCB" w:rsidRDefault="00B85CCB" w:rsidP="00B85CCB">
            <w:pPr>
              <w:jc w:val="center"/>
              <w:rPr>
                <w:rFonts w:eastAsia="DengXian"/>
                <w:color w:val="000000"/>
              </w:rPr>
            </w:pPr>
            <w:r w:rsidRPr="00B85CCB">
              <w:rPr>
                <w:rFonts w:eastAsia="DengXian"/>
                <w:color w:val="000000"/>
              </w:rPr>
              <w:t>PFHxS</w:t>
            </w:r>
          </w:p>
        </w:tc>
        <w:tc>
          <w:tcPr>
            <w:tcW w:w="2100" w:type="dxa"/>
            <w:tcBorders>
              <w:top w:val="nil"/>
              <w:left w:val="nil"/>
              <w:bottom w:val="nil"/>
              <w:right w:val="nil"/>
            </w:tcBorders>
            <w:shd w:val="clear" w:color="auto" w:fill="auto"/>
            <w:noWrap/>
            <w:vAlign w:val="center"/>
            <w:hideMark/>
          </w:tcPr>
          <w:p w14:paraId="76AA6FA9" w14:textId="77777777" w:rsidR="00B85CCB" w:rsidRPr="00B85CCB" w:rsidRDefault="00B85CCB" w:rsidP="00B85CCB">
            <w:pPr>
              <w:jc w:val="center"/>
              <w:rPr>
                <w:rFonts w:eastAsia="DengXian"/>
                <w:color w:val="000000"/>
              </w:rPr>
            </w:pPr>
            <w:r w:rsidRPr="00B85CCB">
              <w:rPr>
                <w:rFonts w:eastAsia="DengXian"/>
                <w:color w:val="000000"/>
              </w:rPr>
              <w:t>0.004</w:t>
            </w:r>
          </w:p>
        </w:tc>
        <w:tc>
          <w:tcPr>
            <w:tcW w:w="720" w:type="dxa"/>
            <w:tcBorders>
              <w:top w:val="nil"/>
              <w:left w:val="nil"/>
              <w:bottom w:val="nil"/>
              <w:right w:val="nil"/>
            </w:tcBorders>
            <w:shd w:val="clear" w:color="auto" w:fill="auto"/>
            <w:noWrap/>
            <w:vAlign w:val="center"/>
            <w:hideMark/>
          </w:tcPr>
          <w:p w14:paraId="038AAD0B" w14:textId="77777777" w:rsidR="00B85CCB" w:rsidRPr="00B85CCB" w:rsidRDefault="00B85CCB" w:rsidP="00B85CCB">
            <w:pPr>
              <w:jc w:val="center"/>
              <w:rPr>
                <w:rFonts w:eastAsia="DengXian"/>
                <w:color w:val="000000"/>
              </w:rPr>
            </w:pPr>
            <w:r w:rsidRPr="00B85CCB">
              <w:rPr>
                <w:rFonts w:eastAsia="DengXian"/>
                <w:color w:val="000000"/>
              </w:rPr>
              <w:t>0.94</w:t>
            </w:r>
          </w:p>
        </w:tc>
      </w:tr>
      <w:tr w:rsidR="00B85CCB" w:rsidRPr="00B85CCB" w14:paraId="6509DDF8" w14:textId="77777777" w:rsidTr="00375C92">
        <w:trPr>
          <w:trHeight w:val="340"/>
          <w:jc w:val="center"/>
        </w:trPr>
        <w:tc>
          <w:tcPr>
            <w:tcW w:w="960" w:type="dxa"/>
            <w:tcBorders>
              <w:top w:val="nil"/>
              <w:left w:val="nil"/>
              <w:bottom w:val="single" w:sz="8" w:space="0" w:color="auto"/>
              <w:right w:val="nil"/>
            </w:tcBorders>
            <w:shd w:val="clear" w:color="auto" w:fill="auto"/>
            <w:noWrap/>
            <w:vAlign w:val="center"/>
            <w:hideMark/>
          </w:tcPr>
          <w:p w14:paraId="4F81C278" w14:textId="77777777" w:rsidR="00B85CCB" w:rsidRPr="00B85CCB" w:rsidRDefault="00B85CCB" w:rsidP="00B85CCB">
            <w:pPr>
              <w:jc w:val="center"/>
              <w:rPr>
                <w:rFonts w:eastAsia="DengXian"/>
                <w:color w:val="000000"/>
              </w:rPr>
            </w:pPr>
            <w:r w:rsidRPr="00B85CCB">
              <w:rPr>
                <w:rFonts w:eastAsia="DengXian"/>
                <w:color w:val="000000"/>
              </w:rPr>
              <w:t>PFOS</w:t>
            </w:r>
          </w:p>
        </w:tc>
        <w:tc>
          <w:tcPr>
            <w:tcW w:w="2100" w:type="dxa"/>
            <w:tcBorders>
              <w:top w:val="nil"/>
              <w:left w:val="nil"/>
              <w:bottom w:val="single" w:sz="8" w:space="0" w:color="auto"/>
              <w:right w:val="nil"/>
            </w:tcBorders>
            <w:shd w:val="clear" w:color="auto" w:fill="auto"/>
            <w:noWrap/>
            <w:vAlign w:val="center"/>
            <w:hideMark/>
          </w:tcPr>
          <w:p w14:paraId="400E5FEB" w14:textId="77777777" w:rsidR="00B85CCB" w:rsidRPr="00B85CCB" w:rsidRDefault="00B85CCB" w:rsidP="00B85CCB">
            <w:pPr>
              <w:jc w:val="center"/>
              <w:rPr>
                <w:rFonts w:eastAsia="DengXian"/>
                <w:color w:val="000000"/>
              </w:rPr>
            </w:pPr>
            <w:r w:rsidRPr="00B85CCB">
              <w:rPr>
                <w:rFonts w:eastAsia="DengXian"/>
                <w:color w:val="000000"/>
              </w:rPr>
              <w:t>0.198</w:t>
            </w:r>
          </w:p>
        </w:tc>
        <w:tc>
          <w:tcPr>
            <w:tcW w:w="720" w:type="dxa"/>
            <w:tcBorders>
              <w:top w:val="nil"/>
              <w:left w:val="nil"/>
              <w:bottom w:val="single" w:sz="8" w:space="0" w:color="auto"/>
              <w:right w:val="nil"/>
            </w:tcBorders>
            <w:shd w:val="clear" w:color="auto" w:fill="auto"/>
            <w:noWrap/>
            <w:vAlign w:val="center"/>
            <w:hideMark/>
          </w:tcPr>
          <w:p w14:paraId="02828A8C" w14:textId="77777777" w:rsidR="00B85CCB" w:rsidRPr="00B85CCB" w:rsidRDefault="00B85CCB" w:rsidP="00B85CCB">
            <w:pPr>
              <w:jc w:val="center"/>
              <w:rPr>
                <w:rFonts w:eastAsia="DengXian"/>
                <w:color w:val="000000"/>
              </w:rPr>
            </w:pPr>
            <w:r w:rsidRPr="00B85CCB">
              <w:rPr>
                <w:rFonts w:eastAsia="DengXian"/>
                <w:color w:val="000000"/>
              </w:rPr>
              <w:t>0.91</w:t>
            </w:r>
          </w:p>
        </w:tc>
      </w:tr>
    </w:tbl>
    <w:p w14:paraId="0EEC820F" w14:textId="72C676E9" w:rsidR="0083524C" w:rsidRDefault="008644B6" w:rsidP="00375C92">
      <w:pPr>
        <w:spacing w:afterLines="100" w:after="240"/>
      </w:pPr>
      <w:r>
        <w:rPr>
          <w:rFonts w:hint="eastAsia"/>
        </w:rPr>
        <w:t>Note</w:t>
      </w:r>
      <w:r>
        <w:t xml:space="preserve">: </w:t>
      </w:r>
      <w:r w:rsidR="005B2310">
        <w:t xml:space="preserve">regression intercept = 0; PFAS soil concentration (ng/g) = slope </w:t>
      </w:r>
      <m:oMath>
        <m:r>
          <w:rPr>
            <w:rFonts w:ascii="Cambria Math" w:hAnsi="Cambria Math"/>
          </w:rPr>
          <m:t>×</m:t>
        </m:r>
      </m:oMath>
      <w:r w:rsidR="00375C92">
        <w:t xml:space="preserve"> biosolids loading rate (Mg/ha)</w:t>
      </w:r>
    </w:p>
    <w:p w14:paraId="38C9D5C0" w14:textId="7400485A" w:rsidR="00A80915" w:rsidRPr="00A80915" w:rsidRDefault="00A80915" w:rsidP="00A80915">
      <w:pPr>
        <w:tabs>
          <w:tab w:val="left" w:pos="1411"/>
        </w:tabs>
        <w:spacing w:afterLines="100" w:after="240"/>
        <w:jc w:val="both"/>
        <w:rPr>
          <w:i/>
          <w:iCs/>
          <w:color w:val="000000" w:themeColor="text1"/>
          <w:lang w:eastAsia="en-US"/>
        </w:rPr>
      </w:pPr>
      <w:bookmarkStart w:id="4" w:name="OLE_LINK22"/>
      <w:r w:rsidRPr="00A80915">
        <w:rPr>
          <w:i/>
          <w:iCs/>
          <w:color w:val="000000" w:themeColor="text1"/>
          <w:lang w:eastAsia="en-US"/>
        </w:rPr>
        <w:t>2.</w:t>
      </w:r>
      <w:r>
        <w:rPr>
          <w:i/>
          <w:iCs/>
          <w:color w:val="000000" w:themeColor="text1"/>
          <w:lang w:eastAsia="en-US"/>
        </w:rPr>
        <w:t>2</w:t>
      </w:r>
      <w:r w:rsidRPr="00A80915">
        <w:rPr>
          <w:i/>
          <w:iCs/>
          <w:color w:val="000000" w:themeColor="text1"/>
          <w:lang w:eastAsia="en-US"/>
        </w:rPr>
        <w:t xml:space="preserve"> </w:t>
      </w:r>
      <w:r>
        <w:rPr>
          <w:i/>
          <w:iCs/>
          <w:color w:val="000000" w:themeColor="text1"/>
          <w:lang w:eastAsia="en-US"/>
        </w:rPr>
        <w:t>leachate</w:t>
      </w:r>
      <w:r w:rsidRPr="00A80915">
        <w:rPr>
          <w:i/>
          <w:iCs/>
          <w:color w:val="000000" w:themeColor="text1"/>
          <w:lang w:eastAsia="en-US"/>
        </w:rPr>
        <w:t xml:space="preserve"> concentration estimation</w:t>
      </w:r>
    </w:p>
    <w:p w14:paraId="48327F43" w14:textId="02FA0675" w:rsidR="00AD6BFD" w:rsidRDefault="00AD6BFD" w:rsidP="0026436A">
      <w:pPr>
        <w:tabs>
          <w:tab w:val="left" w:pos="1411"/>
        </w:tabs>
        <w:spacing w:afterLines="100" w:after="240"/>
        <w:jc w:val="both"/>
        <w:rPr>
          <w:rFonts w:eastAsiaTheme="minorEastAsia"/>
        </w:rPr>
      </w:pPr>
      <w:r w:rsidRPr="00AD6BFD">
        <w:rPr>
          <w:rFonts w:eastAsiaTheme="minorEastAsia"/>
        </w:rPr>
        <w:t xml:space="preserve">To estimate PFAS leachate concentrations resulting from biosolids application, we referred to the modeling framework established by </w:t>
      </w:r>
      <w:r>
        <w:rPr>
          <w:rFonts w:eastAsiaTheme="minorEastAsia"/>
          <w:lang w:eastAsia="en-US"/>
        </w:rPr>
        <w:fldChar w:fldCharType="begin"/>
      </w:r>
      <w:r>
        <w:rPr>
          <w:rFonts w:eastAsiaTheme="minorEastAsia"/>
          <w:lang w:eastAsia="en-US"/>
        </w:rPr>
        <w:instrText xml:space="preserve"> ADDIN EN.CITE &lt;EndNote&gt;&lt;Cite AuthorYear="1"&gt;&lt;Author&gt;Silva&lt;/Author&gt;&lt;Year&gt;2022&lt;/Year&gt;&lt;RecNum&gt;3&lt;/RecNum&gt;&lt;DisplayText&gt;Silva et al. (2022)&lt;/DisplayText&gt;&lt;record&gt;&lt;rec-number&gt;3&lt;/rec-number&gt;&lt;foreign-keys&gt;&lt;key app="EN" db-id="fvdzdwrv4rwazae20asvzrxwfss5zrtsdext" timestamp="1744917692"&gt;3&lt;/key&gt;&lt;/foreign-keys&gt;&lt;ref-type name="Journal Article"&gt;17&lt;/ref-type&gt;&lt;contributors&gt;&lt;authors&gt;&lt;author&gt;Silva, Jeff A. K.&lt;/author&gt;&lt;author&gt;Guelfo, Jennifer L.&lt;/author&gt;&lt;author&gt;Šimůnek, Jiří&lt;/author&gt;&lt;author&gt;McCray, John E.&lt;/author&gt;&lt;/authors&gt;&lt;/contributors&gt;&lt;titles&gt;&lt;title&gt;Simulated leaching of PFAS from land-applied municipal biosolids at agricultural sites&lt;/title&gt;&lt;secondary-title&gt;Journal of Contaminant Hydrology&lt;/secondary-title&gt;&lt;/titles&gt;&lt;periodical&gt;&lt;full-title&gt;Journal of Contaminant Hydrology&lt;/full-title&gt;&lt;/periodical&gt;&lt;pages&gt;104089&lt;/pages&gt;&lt;volume&gt;251&lt;/volume&gt;&lt;keywords&gt;&lt;keyword&gt;Land-applied biosolids&lt;/keyword&gt;&lt;keyword&gt;PFAS leaching&lt;/keyword&gt;&lt;keyword&gt;PFAS vadose zone transport&lt;/keyword&gt;&lt;keyword&gt;Numerical modeling&lt;/keyword&gt;&lt;keyword&gt;PFAS source term modeling&lt;/keyword&gt;&lt;keyword&gt;Best management practices&lt;/keyword&gt;&lt;/keywords&gt;&lt;dates&gt;&lt;year&gt;2022&lt;/year&gt;&lt;pub-dates&gt;&lt;date&gt;2022/12/01/&lt;/date&gt;&lt;/pub-dates&gt;&lt;/dates&gt;&lt;isbn&gt;0169-7722&lt;/isbn&gt;&lt;urls&gt;&lt;related-urls&gt;&lt;url&gt;https://www.sciencedirect.com/science/article/pii/S0169772222001371&lt;/url&gt;&lt;/related-urls&gt;&lt;/urls&gt;&lt;electronic-resource-num&gt;https://doi.org/10.1016/j.jconhyd.2022.104089&lt;/electronic-resource-num&gt;&lt;/record&gt;&lt;/Cite&gt;&lt;/EndNote&gt;</w:instrText>
      </w:r>
      <w:r>
        <w:rPr>
          <w:rFonts w:eastAsiaTheme="minorEastAsia"/>
          <w:lang w:eastAsia="en-US"/>
        </w:rPr>
        <w:fldChar w:fldCharType="separate"/>
      </w:r>
      <w:r>
        <w:rPr>
          <w:rFonts w:eastAsiaTheme="minorEastAsia"/>
          <w:noProof/>
          <w:lang w:eastAsia="en-US"/>
        </w:rPr>
        <w:t>Silva et al. (2022)</w:t>
      </w:r>
      <w:r>
        <w:rPr>
          <w:rFonts w:eastAsiaTheme="minorEastAsia"/>
          <w:lang w:eastAsia="en-US"/>
        </w:rPr>
        <w:fldChar w:fldCharType="end"/>
      </w:r>
      <w:r w:rsidRPr="00AD6BFD">
        <w:rPr>
          <w:rFonts w:eastAsiaTheme="minorEastAsia"/>
        </w:rPr>
        <w:t>, which employed a two-site kinetic sorption model embedded within the HYDRUS simulation platform. This model was used to simulate PFAS transport in the vadose zone following a single biosolids application event.</w:t>
      </w:r>
    </w:p>
    <w:p w14:paraId="5944ED01" w14:textId="2A80C508" w:rsidR="00AD6BFD" w:rsidRDefault="00AD6BFD" w:rsidP="0026436A">
      <w:pPr>
        <w:tabs>
          <w:tab w:val="left" w:pos="1411"/>
        </w:tabs>
        <w:spacing w:afterLines="100" w:after="240"/>
        <w:jc w:val="both"/>
        <w:rPr>
          <w:rFonts w:eastAsiaTheme="minorEastAsia"/>
        </w:rPr>
      </w:pPr>
      <w:r w:rsidRPr="00AD6BFD">
        <w:rPr>
          <w:rFonts w:eastAsiaTheme="minorEastAsia"/>
        </w:rPr>
        <w:t>To capture the long-term leaching behavior of different PFAS compounds, simulations were extended over a 150-year period post-application. Due to compound-specific differences in sorption-desorption kinetics, the peak leachate concentrations (</w:t>
      </w:r>
      <m:oMath>
        <m:sSub>
          <m:sSubPr>
            <m:ctrlPr>
              <w:rPr>
                <w:rFonts w:ascii="Cambria Math" w:eastAsiaTheme="minorEastAsia" w:hAnsi="Cambria Math" w:cstheme="minorBidi"/>
                <w:i/>
                <w:szCs w:val="22"/>
                <w:lang w:val="en-US" w:eastAsia="en-US"/>
              </w:rPr>
            </m:ctrlPr>
          </m:sSubPr>
          <m:e>
            <m:r>
              <w:rPr>
                <w:rFonts w:ascii="Cambria Math" w:eastAsiaTheme="minorEastAsia" w:hAnsi="Cambria Math"/>
              </w:rPr>
              <m:t>C</m:t>
            </m:r>
          </m:e>
          <m:sub>
            <m:r>
              <w:rPr>
                <w:rFonts w:ascii="Cambria Math" w:eastAsiaTheme="minorEastAsia" w:hAnsi="Cambria Math"/>
              </w:rPr>
              <m:t>w,max</m:t>
            </m:r>
          </m:sub>
        </m:sSub>
      </m:oMath>
      <w:r w:rsidRPr="00AD6BFD">
        <w:rPr>
          <w:rFonts w:eastAsiaTheme="minorEastAsia"/>
        </w:rPr>
        <w:t xml:space="preserve">) varied temporally among </w:t>
      </w:r>
      <w:r w:rsidRPr="00AD6BFD">
        <w:rPr>
          <w:rFonts w:eastAsiaTheme="minorEastAsia"/>
        </w:rPr>
        <w:lastRenderedPageBreak/>
        <w:t>different PFAS analytes. Importantly, the model incorporated adsorption of PFAS at air-water interfaces (AWI) within the unsaturated zone, which represents an additional mechanism of retention and retards vertical transport.</w:t>
      </w:r>
    </w:p>
    <w:p w14:paraId="6E33359A" w14:textId="2DB0EEF3" w:rsidR="00AD6BFD" w:rsidRDefault="00AD6BFD" w:rsidP="0026436A">
      <w:pPr>
        <w:tabs>
          <w:tab w:val="left" w:pos="1411"/>
        </w:tabs>
        <w:spacing w:afterLines="100" w:after="240"/>
        <w:jc w:val="both"/>
      </w:pPr>
      <w:r>
        <w:t>A linear regression relationship (Eq. 3) was developed between the maximum leachate concentration reaching the saturated zone (</w:t>
      </w:r>
      <m:oMath>
        <m:sSub>
          <m:sSubPr>
            <m:ctrlPr>
              <w:rPr>
                <w:rFonts w:ascii="Cambria Math" w:eastAsiaTheme="minorEastAsia" w:hAnsi="Cambria Math" w:cstheme="minorBidi"/>
                <w:i/>
                <w:szCs w:val="22"/>
                <w:lang w:val="en-US" w:eastAsia="en-US"/>
              </w:rPr>
            </m:ctrlPr>
          </m:sSubPr>
          <m:e>
            <m:r>
              <w:rPr>
                <w:rFonts w:ascii="Cambria Math" w:eastAsiaTheme="minorEastAsia" w:hAnsi="Cambria Math"/>
              </w:rPr>
              <m:t>C</m:t>
            </m:r>
          </m:e>
          <m:sub>
            <m:r>
              <w:rPr>
                <w:rFonts w:ascii="Cambria Math" w:eastAsiaTheme="minorEastAsia" w:hAnsi="Cambria Math"/>
              </w:rPr>
              <m:t>w,max</m:t>
            </m:r>
          </m:sub>
        </m:sSub>
      </m:oMath>
      <w:r>
        <w:t>, ng/L) and the total PFAS concentration in biosolids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Total</m:t>
            </m:r>
          </m:sub>
        </m:sSub>
      </m:oMath>
      <w:r>
        <w:t>, ng/g):</w:t>
      </w:r>
    </w:p>
    <w:p w14:paraId="23E0CEA8" w14:textId="0264D1DC" w:rsidR="00AD6BFD" w:rsidRPr="00AD6BFD" w:rsidRDefault="00000000" w:rsidP="0026436A">
      <w:pPr>
        <w:tabs>
          <w:tab w:val="left" w:pos="1411"/>
        </w:tabs>
        <w:spacing w:afterLines="100" w:after="240"/>
        <w:jc w:val="both"/>
        <w:rPr>
          <w:rFonts w:eastAsiaTheme="minorEastAsia"/>
        </w:rPr>
      </w:pPr>
      <m:oMathPara>
        <m:oMath>
          <m:eqArr>
            <m:eqArrPr>
              <m:maxDist m:val="1"/>
              <m:ctrlPr>
                <w:rPr>
                  <w:rFonts w:ascii="Cambria Math" w:hAnsi="Cambria Math"/>
                  <w:i/>
                </w:rPr>
              </m:ctrlPr>
            </m:eqArrPr>
            <m:e>
              <m:sSub>
                <m:sSubPr>
                  <m:ctrlPr>
                    <w:rPr>
                      <w:rFonts w:ascii="Cambria Math" w:eastAsiaTheme="minorEastAsia" w:hAnsi="Cambria Math" w:cstheme="minorBidi"/>
                      <w:i/>
                      <w:szCs w:val="22"/>
                      <w:lang w:val="en-US" w:eastAsia="en-US"/>
                    </w:rPr>
                  </m:ctrlPr>
                </m:sSubPr>
                <m:e>
                  <m:r>
                    <w:rPr>
                      <w:rFonts w:ascii="Cambria Math" w:eastAsiaTheme="minorEastAsia" w:hAnsi="Cambria Math"/>
                    </w:rPr>
                    <m:t>C</m:t>
                  </m:r>
                </m:e>
                <m:sub>
                  <m:r>
                    <w:rPr>
                      <w:rFonts w:ascii="Cambria Math" w:eastAsiaTheme="minorEastAsia" w:hAnsi="Cambria Math"/>
                    </w:rPr>
                    <m:t>w,max</m:t>
                  </m:r>
                </m:sub>
              </m:sSub>
              <m:r>
                <w:rPr>
                  <w:rFonts w:ascii="Cambria Math" w:hAnsi="Cambria Math"/>
                </w:rPr>
                <m:t>=β×</m:t>
              </m:r>
              <m:sSub>
                <m:sSubPr>
                  <m:ctrlPr>
                    <w:rPr>
                      <w:rFonts w:ascii="Cambria Math" w:eastAsia="SimSun" w:hAnsi="Cambria Math" w:cstheme="minorBidi"/>
                      <w:i/>
                      <w:szCs w:val="22"/>
                      <w:lang w:val="en-US"/>
                    </w:rPr>
                  </m:ctrlPr>
                </m:sSubPr>
                <m:e>
                  <m:r>
                    <w:rPr>
                      <w:rFonts w:ascii="Cambria Math" w:hAnsi="Cambria Math"/>
                    </w:rPr>
                    <m:t>S</m:t>
                  </m:r>
                </m:e>
                <m:sub>
                  <m:r>
                    <w:rPr>
                      <w:rFonts w:ascii="Cambria Math" w:hAnsi="Cambria Math"/>
                    </w:rPr>
                    <m:t>Total</m:t>
                  </m:r>
                </m:sub>
              </m:sSub>
              <m:r>
                <w:rPr>
                  <w:rFonts w:ascii="Cambria Math" w:hAnsi="Cambria Math"/>
                </w:rPr>
                <m:t>#</m:t>
              </m:r>
              <m:d>
                <m:dPr>
                  <m:ctrlPr>
                    <w:rPr>
                      <w:rFonts w:ascii="Cambria Math" w:hAnsi="Cambria Math"/>
                      <w:i/>
                    </w:rPr>
                  </m:ctrlPr>
                </m:dPr>
                <m:e>
                  <m:r>
                    <w:rPr>
                      <w:rFonts w:ascii="Cambria Math" w:hAnsi="Cambria Math"/>
                    </w:rPr>
                    <m:t>Eq.3</m:t>
                  </m:r>
                </m:e>
              </m:d>
            </m:e>
          </m:eqArr>
        </m:oMath>
      </m:oMathPara>
    </w:p>
    <w:p w14:paraId="0108CD0B" w14:textId="060F9267" w:rsidR="00AD6BFD" w:rsidRDefault="00AD6BFD" w:rsidP="0026436A">
      <w:pPr>
        <w:tabs>
          <w:tab w:val="left" w:pos="1411"/>
        </w:tabs>
        <w:spacing w:afterLines="100" w:after="240"/>
        <w:jc w:val="both"/>
        <w:rPr>
          <w:rFonts w:eastAsiaTheme="minorEastAsia"/>
        </w:rPr>
      </w:pPr>
      <w:r>
        <w:t>Compound-specific slope coefficients (β) derived from the HYDRUS simulation outputs are summarized in Table S2. These coefficients reflect the proportionality between PFAS content in biosolids and the peak leachate concentrations in the saturated zone for a single-application scenario.</w:t>
      </w:r>
    </w:p>
    <w:bookmarkEnd w:id="4"/>
    <w:p w14:paraId="5062BE1A" w14:textId="460AB38B" w:rsidR="005B2310" w:rsidRPr="005B2310" w:rsidRDefault="005B2310" w:rsidP="00375C92">
      <w:pPr>
        <w:jc w:val="both"/>
        <w:rPr>
          <w:rFonts w:eastAsiaTheme="minorEastAsia"/>
          <w:i/>
          <w:iCs/>
        </w:rPr>
      </w:pPr>
      <w:r w:rsidRPr="005B2310">
        <w:rPr>
          <w:rFonts w:eastAsiaTheme="minorEastAsia"/>
          <w:b/>
          <w:bCs/>
        </w:rPr>
        <w:t>Table S2</w:t>
      </w:r>
      <w:r>
        <w:rPr>
          <w:rFonts w:eastAsiaTheme="minorEastAsia"/>
        </w:rPr>
        <w:t xml:space="preserve">. </w:t>
      </w:r>
      <w:r w:rsidRPr="005B2310">
        <w:rPr>
          <w:rFonts w:eastAsiaTheme="minorEastAsia"/>
          <w:i/>
          <w:iCs/>
          <w:lang w:val="en-US"/>
        </w:rPr>
        <w:t xml:space="preserve">Regression slopes from </w:t>
      </w:r>
      <m:oMath>
        <m:sSub>
          <m:sSubPr>
            <m:ctrlPr>
              <w:rPr>
                <w:rFonts w:ascii="Cambria Math" w:eastAsiaTheme="minorEastAsia" w:hAnsi="Cambria Math"/>
                <w:i/>
                <w:iCs/>
                <w:lang w:val="en-US"/>
              </w:rPr>
            </m:ctrlPr>
          </m:sSubPr>
          <m:e>
            <m:r>
              <w:rPr>
                <w:rFonts w:ascii="Cambria Math" w:eastAsiaTheme="minorEastAsia" w:hAnsi="Cambria Math"/>
                <w:lang w:val="en-US"/>
              </w:rPr>
              <m:t>S</m:t>
            </m:r>
          </m:e>
          <m:sub>
            <m:r>
              <w:rPr>
                <w:rFonts w:ascii="Cambria Math" w:eastAsiaTheme="minorEastAsia" w:hAnsi="Cambria Math"/>
                <w:lang w:val="en-US"/>
              </w:rPr>
              <m:t>Total</m:t>
            </m:r>
          </m:sub>
        </m:sSub>
      </m:oMath>
      <w:r w:rsidRPr="005B2310">
        <w:rPr>
          <w:rFonts w:eastAsiaTheme="minorEastAsia"/>
          <w:i/>
          <w:iCs/>
          <w:lang w:val="en-US"/>
        </w:rPr>
        <w:t>-</w:t>
      </w:r>
      <m:oMath>
        <m:sSub>
          <m:sSubPr>
            <m:ctrlPr>
              <w:rPr>
                <w:rFonts w:ascii="Cambria Math" w:eastAsiaTheme="minorEastAsia" w:hAnsi="Cambria Math"/>
                <w:i/>
                <w:iCs/>
                <w:lang w:val="en-US"/>
              </w:rPr>
            </m:ctrlPr>
          </m:sSubPr>
          <m:e>
            <m:r>
              <w:rPr>
                <w:rFonts w:ascii="Cambria Math" w:eastAsiaTheme="minorEastAsia" w:hAnsi="Cambria Math"/>
                <w:lang w:val="en-US"/>
              </w:rPr>
              <m:t>C</m:t>
            </m:r>
          </m:e>
          <m:sub>
            <m:r>
              <w:rPr>
                <w:rFonts w:ascii="Cambria Math" w:eastAsiaTheme="minorEastAsia" w:hAnsi="Cambria Math"/>
                <w:lang w:val="en-US"/>
              </w:rPr>
              <m:t>w,max</m:t>
            </m:r>
          </m:sub>
        </m:sSub>
      </m:oMath>
      <w:r w:rsidRPr="005B2310">
        <w:rPr>
          <w:rFonts w:eastAsiaTheme="minorEastAsia"/>
          <w:i/>
          <w:iCs/>
          <w:lang w:val="en-US"/>
        </w:rPr>
        <w:t xml:space="preserve"> linear regressions</w:t>
      </w:r>
      <w:r w:rsidR="00AD6BFD">
        <w:rPr>
          <w:rFonts w:eastAsiaTheme="minorEastAsia"/>
          <w:i/>
          <w:iCs/>
          <w:lang w:val="en-US"/>
        </w:rPr>
        <w:t xml:space="preserve"> </w:t>
      </w:r>
      <w:r w:rsidR="00AD6BFD" w:rsidRPr="008644B6">
        <w:rPr>
          <w:i/>
          <w:iCs/>
          <w:color w:val="000000" w:themeColor="text1"/>
          <w:szCs w:val="22"/>
        </w:rPr>
        <w:t>(from S</w:t>
      </w:r>
      <w:r w:rsidR="00AD6BFD">
        <w:rPr>
          <w:i/>
          <w:iCs/>
          <w:color w:val="000000" w:themeColor="text1"/>
          <w:szCs w:val="22"/>
        </w:rPr>
        <w:t>ilva</w:t>
      </w:r>
      <w:r w:rsidR="00AD6BFD" w:rsidRPr="008644B6">
        <w:rPr>
          <w:i/>
          <w:iCs/>
          <w:color w:val="000000" w:themeColor="text1"/>
          <w:szCs w:val="22"/>
        </w:rPr>
        <w:t xml:space="preserve"> et al., 2011).</w:t>
      </w:r>
    </w:p>
    <w:tbl>
      <w:tblPr>
        <w:tblW w:w="3900" w:type="dxa"/>
        <w:jc w:val="center"/>
        <w:tblLook w:val="04A0" w:firstRow="1" w:lastRow="0" w:firstColumn="1" w:lastColumn="0" w:noHBand="0" w:noVBand="1"/>
      </w:tblPr>
      <w:tblGrid>
        <w:gridCol w:w="1300"/>
        <w:gridCol w:w="1300"/>
        <w:gridCol w:w="1300"/>
      </w:tblGrid>
      <w:tr w:rsidR="005B2310" w14:paraId="1EAE3369" w14:textId="77777777" w:rsidTr="00375C92">
        <w:trPr>
          <w:trHeight w:val="320"/>
          <w:jc w:val="center"/>
        </w:trPr>
        <w:tc>
          <w:tcPr>
            <w:tcW w:w="1300" w:type="dxa"/>
            <w:tcBorders>
              <w:top w:val="single" w:sz="8" w:space="0" w:color="auto"/>
              <w:left w:val="nil"/>
              <w:bottom w:val="single" w:sz="4" w:space="0" w:color="auto"/>
              <w:right w:val="nil"/>
            </w:tcBorders>
            <w:shd w:val="clear" w:color="auto" w:fill="auto"/>
            <w:noWrap/>
            <w:vAlign w:val="center"/>
            <w:hideMark/>
          </w:tcPr>
          <w:p w14:paraId="4587A9CD" w14:textId="77777777" w:rsidR="005B2310" w:rsidRDefault="005B2310">
            <w:pPr>
              <w:jc w:val="center"/>
              <w:rPr>
                <w:rFonts w:eastAsia="DengXian"/>
                <w:b/>
                <w:bCs/>
                <w:color w:val="000000"/>
              </w:rPr>
            </w:pPr>
            <w:r>
              <w:rPr>
                <w:rFonts w:eastAsia="DengXian"/>
                <w:b/>
                <w:bCs/>
                <w:color w:val="000000"/>
              </w:rPr>
              <w:t>PFAS</w:t>
            </w:r>
          </w:p>
        </w:tc>
        <w:tc>
          <w:tcPr>
            <w:tcW w:w="1300" w:type="dxa"/>
            <w:tcBorders>
              <w:top w:val="single" w:sz="8" w:space="0" w:color="auto"/>
              <w:left w:val="nil"/>
              <w:bottom w:val="single" w:sz="4" w:space="0" w:color="auto"/>
              <w:right w:val="nil"/>
            </w:tcBorders>
            <w:shd w:val="clear" w:color="auto" w:fill="auto"/>
            <w:noWrap/>
            <w:vAlign w:val="center"/>
            <w:hideMark/>
          </w:tcPr>
          <w:p w14:paraId="0089F990" w14:textId="77777777" w:rsidR="005B2310" w:rsidRDefault="005B2310">
            <w:pPr>
              <w:jc w:val="center"/>
              <w:rPr>
                <w:rFonts w:eastAsia="DengXian"/>
                <w:b/>
                <w:bCs/>
                <w:color w:val="000000"/>
              </w:rPr>
            </w:pPr>
            <w:r>
              <w:rPr>
                <w:rFonts w:eastAsia="DengXian"/>
                <w:b/>
                <w:bCs/>
                <w:color w:val="000000"/>
              </w:rPr>
              <w:t>Site K</w:t>
            </w:r>
          </w:p>
        </w:tc>
        <w:tc>
          <w:tcPr>
            <w:tcW w:w="1300" w:type="dxa"/>
            <w:tcBorders>
              <w:top w:val="single" w:sz="8" w:space="0" w:color="auto"/>
              <w:left w:val="nil"/>
              <w:bottom w:val="single" w:sz="4" w:space="0" w:color="auto"/>
              <w:right w:val="nil"/>
            </w:tcBorders>
            <w:shd w:val="clear" w:color="auto" w:fill="auto"/>
            <w:noWrap/>
            <w:vAlign w:val="center"/>
            <w:hideMark/>
          </w:tcPr>
          <w:p w14:paraId="4837C5DB" w14:textId="77777777" w:rsidR="005B2310" w:rsidRDefault="005B2310">
            <w:pPr>
              <w:jc w:val="center"/>
              <w:rPr>
                <w:rFonts w:eastAsia="DengXian"/>
                <w:b/>
                <w:bCs/>
                <w:color w:val="000000"/>
              </w:rPr>
            </w:pPr>
            <w:r>
              <w:rPr>
                <w:rFonts w:eastAsia="DengXian"/>
                <w:b/>
                <w:bCs/>
                <w:color w:val="000000"/>
              </w:rPr>
              <w:t>Site W</w:t>
            </w:r>
          </w:p>
        </w:tc>
      </w:tr>
      <w:tr w:rsidR="005B2310" w14:paraId="73D7A2CA" w14:textId="77777777" w:rsidTr="00375C92">
        <w:trPr>
          <w:trHeight w:val="320"/>
          <w:jc w:val="center"/>
        </w:trPr>
        <w:tc>
          <w:tcPr>
            <w:tcW w:w="1300" w:type="dxa"/>
            <w:tcBorders>
              <w:top w:val="nil"/>
              <w:left w:val="nil"/>
              <w:bottom w:val="nil"/>
              <w:right w:val="nil"/>
            </w:tcBorders>
            <w:shd w:val="clear" w:color="auto" w:fill="auto"/>
            <w:noWrap/>
            <w:vAlign w:val="center"/>
            <w:hideMark/>
          </w:tcPr>
          <w:p w14:paraId="1BF701B6" w14:textId="77777777" w:rsidR="005B2310" w:rsidRDefault="005B2310">
            <w:pPr>
              <w:jc w:val="center"/>
              <w:rPr>
                <w:rFonts w:eastAsia="DengXian"/>
                <w:color w:val="000000"/>
              </w:rPr>
            </w:pPr>
            <w:r>
              <w:rPr>
                <w:rFonts w:eastAsia="DengXian"/>
                <w:color w:val="000000"/>
              </w:rPr>
              <w:t>PFHxA</w:t>
            </w:r>
          </w:p>
        </w:tc>
        <w:tc>
          <w:tcPr>
            <w:tcW w:w="1300" w:type="dxa"/>
            <w:tcBorders>
              <w:top w:val="nil"/>
              <w:left w:val="nil"/>
              <w:bottom w:val="nil"/>
              <w:right w:val="nil"/>
            </w:tcBorders>
            <w:shd w:val="clear" w:color="auto" w:fill="auto"/>
            <w:noWrap/>
            <w:vAlign w:val="center"/>
            <w:hideMark/>
          </w:tcPr>
          <w:p w14:paraId="6E09704A" w14:textId="77777777" w:rsidR="005B2310" w:rsidRDefault="005B2310">
            <w:pPr>
              <w:jc w:val="center"/>
              <w:rPr>
                <w:rFonts w:eastAsia="DengXian"/>
                <w:color w:val="000000"/>
              </w:rPr>
            </w:pPr>
            <w:r>
              <w:rPr>
                <w:rFonts w:eastAsia="DengXian"/>
                <w:color w:val="000000"/>
              </w:rPr>
              <w:t>174.71</w:t>
            </w:r>
          </w:p>
        </w:tc>
        <w:tc>
          <w:tcPr>
            <w:tcW w:w="1300" w:type="dxa"/>
            <w:tcBorders>
              <w:top w:val="nil"/>
              <w:left w:val="nil"/>
              <w:bottom w:val="nil"/>
              <w:right w:val="nil"/>
            </w:tcBorders>
            <w:shd w:val="clear" w:color="auto" w:fill="auto"/>
            <w:noWrap/>
            <w:vAlign w:val="center"/>
            <w:hideMark/>
          </w:tcPr>
          <w:p w14:paraId="7B25CA87" w14:textId="77777777" w:rsidR="005B2310" w:rsidRDefault="005B2310">
            <w:pPr>
              <w:jc w:val="center"/>
              <w:rPr>
                <w:rFonts w:eastAsia="DengXian"/>
                <w:color w:val="000000"/>
              </w:rPr>
            </w:pPr>
            <w:r>
              <w:rPr>
                <w:rFonts w:eastAsia="DengXian"/>
                <w:color w:val="000000"/>
              </w:rPr>
              <w:t>131.31</w:t>
            </w:r>
          </w:p>
        </w:tc>
      </w:tr>
      <w:tr w:rsidR="005B2310" w14:paraId="7F110387" w14:textId="77777777" w:rsidTr="00375C92">
        <w:trPr>
          <w:trHeight w:val="320"/>
          <w:jc w:val="center"/>
        </w:trPr>
        <w:tc>
          <w:tcPr>
            <w:tcW w:w="1300" w:type="dxa"/>
            <w:tcBorders>
              <w:top w:val="nil"/>
              <w:left w:val="nil"/>
              <w:bottom w:val="nil"/>
              <w:right w:val="nil"/>
            </w:tcBorders>
            <w:shd w:val="clear" w:color="auto" w:fill="auto"/>
            <w:noWrap/>
            <w:vAlign w:val="center"/>
            <w:hideMark/>
          </w:tcPr>
          <w:p w14:paraId="328D0211" w14:textId="77777777" w:rsidR="005B2310" w:rsidRDefault="005B2310">
            <w:pPr>
              <w:jc w:val="center"/>
              <w:rPr>
                <w:rFonts w:eastAsia="DengXian"/>
                <w:color w:val="000000"/>
              </w:rPr>
            </w:pPr>
            <w:r>
              <w:rPr>
                <w:rFonts w:eastAsia="DengXian"/>
                <w:color w:val="000000"/>
              </w:rPr>
              <w:t>PFHpA</w:t>
            </w:r>
          </w:p>
        </w:tc>
        <w:tc>
          <w:tcPr>
            <w:tcW w:w="1300" w:type="dxa"/>
            <w:tcBorders>
              <w:top w:val="nil"/>
              <w:left w:val="nil"/>
              <w:bottom w:val="nil"/>
              <w:right w:val="nil"/>
            </w:tcBorders>
            <w:shd w:val="clear" w:color="auto" w:fill="auto"/>
            <w:noWrap/>
            <w:vAlign w:val="center"/>
            <w:hideMark/>
          </w:tcPr>
          <w:p w14:paraId="66950231" w14:textId="77777777" w:rsidR="005B2310" w:rsidRDefault="005B2310">
            <w:pPr>
              <w:jc w:val="center"/>
              <w:rPr>
                <w:rFonts w:eastAsia="DengXian"/>
                <w:color w:val="000000"/>
              </w:rPr>
            </w:pPr>
            <w:r>
              <w:rPr>
                <w:rFonts w:eastAsia="DengXian"/>
                <w:color w:val="000000"/>
              </w:rPr>
              <w:t>94</w:t>
            </w:r>
          </w:p>
        </w:tc>
        <w:tc>
          <w:tcPr>
            <w:tcW w:w="1300" w:type="dxa"/>
            <w:tcBorders>
              <w:top w:val="nil"/>
              <w:left w:val="nil"/>
              <w:bottom w:val="nil"/>
              <w:right w:val="nil"/>
            </w:tcBorders>
            <w:shd w:val="clear" w:color="auto" w:fill="auto"/>
            <w:noWrap/>
            <w:vAlign w:val="center"/>
            <w:hideMark/>
          </w:tcPr>
          <w:p w14:paraId="7D81FE98" w14:textId="77777777" w:rsidR="005B2310" w:rsidRDefault="005B2310">
            <w:pPr>
              <w:jc w:val="center"/>
              <w:rPr>
                <w:rFonts w:eastAsia="DengXian"/>
                <w:color w:val="000000"/>
              </w:rPr>
            </w:pPr>
            <w:r>
              <w:rPr>
                <w:rFonts w:eastAsia="DengXian"/>
                <w:color w:val="000000"/>
              </w:rPr>
              <w:t>79.468</w:t>
            </w:r>
          </w:p>
        </w:tc>
      </w:tr>
      <w:tr w:rsidR="005B2310" w14:paraId="43CA6541" w14:textId="77777777" w:rsidTr="00375C92">
        <w:trPr>
          <w:trHeight w:val="320"/>
          <w:jc w:val="center"/>
        </w:trPr>
        <w:tc>
          <w:tcPr>
            <w:tcW w:w="1300" w:type="dxa"/>
            <w:tcBorders>
              <w:top w:val="nil"/>
              <w:left w:val="nil"/>
              <w:bottom w:val="nil"/>
              <w:right w:val="nil"/>
            </w:tcBorders>
            <w:shd w:val="clear" w:color="auto" w:fill="auto"/>
            <w:noWrap/>
            <w:vAlign w:val="center"/>
            <w:hideMark/>
          </w:tcPr>
          <w:p w14:paraId="4AC14B0D" w14:textId="77777777" w:rsidR="005B2310" w:rsidRDefault="005B2310">
            <w:pPr>
              <w:jc w:val="center"/>
              <w:rPr>
                <w:rFonts w:eastAsia="DengXian"/>
                <w:color w:val="000000"/>
              </w:rPr>
            </w:pPr>
            <w:r>
              <w:rPr>
                <w:rFonts w:eastAsia="DengXian"/>
                <w:color w:val="000000"/>
              </w:rPr>
              <w:t>PFOA</w:t>
            </w:r>
          </w:p>
        </w:tc>
        <w:tc>
          <w:tcPr>
            <w:tcW w:w="1300" w:type="dxa"/>
            <w:tcBorders>
              <w:top w:val="nil"/>
              <w:left w:val="nil"/>
              <w:bottom w:val="nil"/>
              <w:right w:val="nil"/>
            </w:tcBorders>
            <w:shd w:val="clear" w:color="auto" w:fill="auto"/>
            <w:noWrap/>
            <w:vAlign w:val="center"/>
            <w:hideMark/>
          </w:tcPr>
          <w:p w14:paraId="7469190C" w14:textId="77777777" w:rsidR="005B2310" w:rsidRDefault="005B2310">
            <w:pPr>
              <w:jc w:val="center"/>
              <w:rPr>
                <w:rFonts w:eastAsia="DengXian"/>
                <w:color w:val="000000"/>
              </w:rPr>
            </w:pPr>
            <w:r>
              <w:rPr>
                <w:rFonts w:eastAsia="DengXian"/>
                <w:color w:val="000000"/>
              </w:rPr>
              <w:t>128.45</w:t>
            </w:r>
          </w:p>
        </w:tc>
        <w:tc>
          <w:tcPr>
            <w:tcW w:w="1300" w:type="dxa"/>
            <w:tcBorders>
              <w:top w:val="nil"/>
              <w:left w:val="nil"/>
              <w:bottom w:val="nil"/>
              <w:right w:val="nil"/>
            </w:tcBorders>
            <w:shd w:val="clear" w:color="auto" w:fill="auto"/>
            <w:noWrap/>
            <w:vAlign w:val="center"/>
            <w:hideMark/>
          </w:tcPr>
          <w:p w14:paraId="7EF2CDB4" w14:textId="77777777" w:rsidR="005B2310" w:rsidRDefault="005B2310">
            <w:pPr>
              <w:jc w:val="center"/>
              <w:rPr>
                <w:rFonts w:eastAsia="DengXian"/>
                <w:color w:val="000000"/>
              </w:rPr>
            </w:pPr>
            <w:r>
              <w:rPr>
                <w:rFonts w:eastAsia="DengXian"/>
                <w:color w:val="000000"/>
              </w:rPr>
              <w:t>101.39</w:t>
            </w:r>
          </w:p>
        </w:tc>
      </w:tr>
      <w:tr w:rsidR="005B2310" w14:paraId="332D9550" w14:textId="77777777" w:rsidTr="00375C92">
        <w:trPr>
          <w:trHeight w:val="320"/>
          <w:jc w:val="center"/>
        </w:trPr>
        <w:tc>
          <w:tcPr>
            <w:tcW w:w="1300" w:type="dxa"/>
            <w:tcBorders>
              <w:top w:val="nil"/>
              <w:left w:val="nil"/>
              <w:bottom w:val="nil"/>
              <w:right w:val="nil"/>
            </w:tcBorders>
            <w:shd w:val="clear" w:color="auto" w:fill="auto"/>
            <w:noWrap/>
            <w:vAlign w:val="center"/>
            <w:hideMark/>
          </w:tcPr>
          <w:p w14:paraId="469B59FC" w14:textId="77777777" w:rsidR="005B2310" w:rsidRDefault="005B2310">
            <w:pPr>
              <w:jc w:val="center"/>
              <w:rPr>
                <w:rFonts w:eastAsia="DengXian"/>
                <w:color w:val="000000"/>
              </w:rPr>
            </w:pPr>
            <w:r>
              <w:rPr>
                <w:rFonts w:eastAsia="DengXian"/>
                <w:color w:val="000000"/>
              </w:rPr>
              <w:t>PFNA</w:t>
            </w:r>
          </w:p>
        </w:tc>
        <w:tc>
          <w:tcPr>
            <w:tcW w:w="1300" w:type="dxa"/>
            <w:tcBorders>
              <w:top w:val="nil"/>
              <w:left w:val="nil"/>
              <w:bottom w:val="nil"/>
              <w:right w:val="nil"/>
            </w:tcBorders>
            <w:shd w:val="clear" w:color="auto" w:fill="auto"/>
            <w:noWrap/>
            <w:vAlign w:val="center"/>
            <w:hideMark/>
          </w:tcPr>
          <w:p w14:paraId="50D7FD8D" w14:textId="77777777" w:rsidR="005B2310" w:rsidRDefault="005B2310">
            <w:pPr>
              <w:jc w:val="center"/>
              <w:rPr>
                <w:rFonts w:eastAsia="DengXian"/>
                <w:color w:val="000000"/>
              </w:rPr>
            </w:pPr>
            <w:r>
              <w:rPr>
                <w:rFonts w:eastAsia="DengXian"/>
                <w:color w:val="000000"/>
              </w:rPr>
              <w:t>54.3</w:t>
            </w:r>
          </w:p>
        </w:tc>
        <w:tc>
          <w:tcPr>
            <w:tcW w:w="1300" w:type="dxa"/>
            <w:tcBorders>
              <w:top w:val="nil"/>
              <w:left w:val="nil"/>
              <w:bottom w:val="nil"/>
              <w:right w:val="nil"/>
            </w:tcBorders>
            <w:shd w:val="clear" w:color="auto" w:fill="auto"/>
            <w:noWrap/>
            <w:vAlign w:val="center"/>
            <w:hideMark/>
          </w:tcPr>
          <w:p w14:paraId="0926DE5F" w14:textId="77777777" w:rsidR="005B2310" w:rsidRDefault="005B2310">
            <w:pPr>
              <w:jc w:val="center"/>
              <w:rPr>
                <w:rFonts w:eastAsia="DengXian"/>
                <w:color w:val="000000"/>
              </w:rPr>
            </w:pPr>
            <w:r>
              <w:rPr>
                <w:rFonts w:eastAsia="DengXian"/>
                <w:color w:val="000000"/>
              </w:rPr>
              <w:t>59.08</w:t>
            </w:r>
          </w:p>
        </w:tc>
      </w:tr>
      <w:tr w:rsidR="005B2310" w14:paraId="7A5CFAED" w14:textId="77777777" w:rsidTr="00375C92">
        <w:trPr>
          <w:trHeight w:val="320"/>
          <w:jc w:val="center"/>
        </w:trPr>
        <w:tc>
          <w:tcPr>
            <w:tcW w:w="1300" w:type="dxa"/>
            <w:tcBorders>
              <w:top w:val="nil"/>
              <w:left w:val="nil"/>
              <w:bottom w:val="nil"/>
              <w:right w:val="nil"/>
            </w:tcBorders>
            <w:shd w:val="clear" w:color="auto" w:fill="auto"/>
            <w:noWrap/>
            <w:vAlign w:val="center"/>
            <w:hideMark/>
          </w:tcPr>
          <w:p w14:paraId="76C5FDBE" w14:textId="77777777" w:rsidR="005B2310" w:rsidRDefault="005B2310">
            <w:pPr>
              <w:jc w:val="center"/>
              <w:rPr>
                <w:rFonts w:eastAsia="DengXian"/>
                <w:color w:val="000000"/>
              </w:rPr>
            </w:pPr>
            <w:r>
              <w:rPr>
                <w:rFonts w:eastAsia="DengXian"/>
                <w:color w:val="000000"/>
              </w:rPr>
              <w:t>PFDA</w:t>
            </w:r>
          </w:p>
        </w:tc>
        <w:tc>
          <w:tcPr>
            <w:tcW w:w="1300" w:type="dxa"/>
            <w:tcBorders>
              <w:top w:val="nil"/>
              <w:left w:val="nil"/>
              <w:bottom w:val="nil"/>
              <w:right w:val="nil"/>
            </w:tcBorders>
            <w:shd w:val="clear" w:color="auto" w:fill="auto"/>
            <w:noWrap/>
            <w:vAlign w:val="center"/>
            <w:hideMark/>
          </w:tcPr>
          <w:p w14:paraId="24A46081" w14:textId="77777777" w:rsidR="005B2310" w:rsidRDefault="005B2310">
            <w:pPr>
              <w:jc w:val="center"/>
              <w:rPr>
                <w:rFonts w:eastAsia="DengXian"/>
                <w:color w:val="000000"/>
              </w:rPr>
            </w:pPr>
            <w:r>
              <w:rPr>
                <w:rFonts w:eastAsia="DengXian"/>
                <w:color w:val="000000"/>
              </w:rPr>
              <w:t>14.1</w:t>
            </w:r>
          </w:p>
        </w:tc>
        <w:tc>
          <w:tcPr>
            <w:tcW w:w="1300" w:type="dxa"/>
            <w:tcBorders>
              <w:top w:val="nil"/>
              <w:left w:val="nil"/>
              <w:bottom w:val="nil"/>
              <w:right w:val="nil"/>
            </w:tcBorders>
            <w:shd w:val="clear" w:color="auto" w:fill="auto"/>
            <w:noWrap/>
            <w:vAlign w:val="center"/>
            <w:hideMark/>
          </w:tcPr>
          <w:p w14:paraId="5116FFB7" w14:textId="77777777" w:rsidR="005B2310" w:rsidRDefault="005B2310">
            <w:pPr>
              <w:jc w:val="center"/>
              <w:rPr>
                <w:rFonts w:eastAsia="DengXian"/>
                <w:color w:val="000000"/>
              </w:rPr>
            </w:pPr>
            <w:r>
              <w:rPr>
                <w:rFonts w:eastAsia="DengXian"/>
                <w:color w:val="000000"/>
              </w:rPr>
              <w:t>-</w:t>
            </w:r>
          </w:p>
        </w:tc>
      </w:tr>
      <w:tr w:rsidR="005B2310" w14:paraId="6F3AE63F" w14:textId="77777777" w:rsidTr="00375C92">
        <w:trPr>
          <w:trHeight w:val="320"/>
          <w:jc w:val="center"/>
        </w:trPr>
        <w:tc>
          <w:tcPr>
            <w:tcW w:w="1300" w:type="dxa"/>
            <w:tcBorders>
              <w:top w:val="nil"/>
              <w:left w:val="nil"/>
              <w:bottom w:val="nil"/>
              <w:right w:val="nil"/>
            </w:tcBorders>
            <w:shd w:val="clear" w:color="auto" w:fill="auto"/>
            <w:noWrap/>
            <w:vAlign w:val="center"/>
            <w:hideMark/>
          </w:tcPr>
          <w:p w14:paraId="5C134211" w14:textId="77777777" w:rsidR="005B2310" w:rsidRDefault="005B2310">
            <w:pPr>
              <w:jc w:val="center"/>
              <w:rPr>
                <w:rFonts w:eastAsia="DengXian"/>
                <w:color w:val="000000"/>
              </w:rPr>
            </w:pPr>
            <w:r>
              <w:rPr>
                <w:rFonts w:eastAsia="DengXian"/>
                <w:color w:val="000000"/>
              </w:rPr>
              <w:t>PFHxS</w:t>
            </w:r>
          </w:p>
        </w:tc>
        <w:tc>
          <w:tcPr>
            <w:tcW w:w="1300" w:type="dxa"/>
            <w:tcBorders>
              <w:top w:val="nil"/>
              <w:left w:val="nil"/>
              <w:bottom w:val="nil"/>
              <w:right w:val="nil"/>
            </w:tcBorders>
            <w:shd w:val="clear" w:color="auto" w:fill="auto"/>
            <w:noWrap/>
            <w:vAlign w:val="center"/>
            <w:hideMark/>
          </w:tcPr>
          <w:p w14:paraId="69DA7CA3" w14:textId="77777777" w:rsidR="005B2310" w:rsidRDefault="005B2310">
            <w:pPr>
              <w:jc w:val="center"/>
              <w:rPr>
                <w:rFonts w:eastAsia="DengXian"/>
                <w:color w:val="000000"/>
              </w:rPr>
            </w:pPr>
            <w:r>
              <w:rPr>
                <w:rFonts w:eastAsia="DengXian"/>
                <w:color w:val="000000"/>
              </w:rPr>
              <w:t>56.8</w:t>
            </w:r>
          </w:p>
        </w:tc>
        <w:tc>
          <w:tcPr>
            <w:tcW w:w="1300" w:type="dxa"/>
            <w:tcBorders>
              <w:top w:val="nil"/>
              <w:left w:val="nil"/>
              <w:bottom w:val="nil"/>
              <w:right w:val="nil"/>
            </w:tcBorders>
            <w:shd w:val="clear" w:color="auto" w:fill="auto"/>
            <w:noWrap/>
            <w:vAlign w:val="center"/>
            <w:hideMark/>
          </w:tcPr>
          <w:p w14:paraId="7DEC59B8" w14:textId="77777777" w:rsidR="005B2310" w:rsidRDefault="005B2310">
            <w:pPr>
              <w:jc w:val="center"/>
              <w:rPr>
                <w:rFonts w:eastAsia="DengXian"/>
                <w:color w:val="000000"/>
              </w:rPr>
            </w:pPr>
            <w:r>
              <w:rPr>
                <w:rFonts w:eastAsia="DengXian"/>
                <w:color w:val="000000"/>
              </w:rPr>
              <w:t>23.2</w:t>
            </w:r>
          </w:p>
        </w:tc>
      </w:tr>
      <w:tr w:rsidR="005B2310" w14:paraId="1CC71DBC" w14:textId="77777777" w:rsidTr="00375C92">
        <w:trPr>
          <w:trHeight w:val="340"/>
          <w:jc w:val="center"/>
        </w:trPr>
        <w:tc>
          <w:tcPr>
            <w:tcW w:w="1300" w:type="dxa"/>
            <w:tcBorders>
              <w:top w:val="nil"/>
              <w:left w:val="nil"/>
              <w:bottom w:val="single" w:sz="8" w:space="0" w:color="auto"/>
              <w:right w:val="nil"/>
            </w:tcBorders>
            <w:shd w:val="clear" w:color="auto" w:fill="auto"/>
            <w:noWrap/>
            <w:vAlign w:val="center"/>
            <w:hideMark/>
          </w:tcPr>
          <w:p w14:paraId="419FE936" w14:textId="77777777" w:rsidR="005B2310" w:rsidRDefault="005B2310">
            <w:pPr>
              <w:jc w:val="center"/>
              <w:rPr>
                <w:rFonts w:eastAsia="DengXian"/>
                <w:color w:val="000000"/>
              </w:rPr>
            </w:pPr>
            <w:r>
              <w:rPr>
                <w:rFonts w:eastAsia="DengXian"/>
                <w:color w:val="000000"/>
              </w:rPr>
              <w:t>PFOS</w:t>
            </w:r>
          </w:p>
        </w:tc>
        <w:tc>
          <w:tcPr>
            <w:tcW w:w="1300" w:type="dxa"/>
            <w:tcBorders>
              <w:top w:val="nil"/>
              <w:left w:val="nil"/>
              <w:bottom w:val="single" w:sz="8" w:space="0" w:color="auto"/>
              <w:right w:val="nil"/>
            </w:tcBorders>
            <w:shd w:val="clear" w:color="auto" w:fill="auto"/>
            <w:noWrap/>
            <w:vAlign w:val="center"/>
            <w:hideMark/>
          </w:tcPr>
          <w:p w14:paraId="2EC28CDE" w14:textId="77777777" w:rsidR="005B2310" w:rsidRDefault="005B2310">
            <w:pPr>
              <w:jc w:val="center"/>
              <w:rPr>
                <w:rFonts w:eastAsia="DengXian"/>
                <w:color w:val="000000"/>
              </w:rPr>
            </w:pPr>
            <w:r>
              <w:rPr>
                <w:rFonts w:eastAsia="DengXian"/>
                <w:color w:val="000000"/>
              </w:rPr>
              <w:t>11.34</w:t>
            </w:r>
          </w:p>
        </w:tc>
        <w:tc>
          <w:tcPr>
            <w:tcW w:w="1300" w:type="dxa"/>
            <w:tcBorders>
              <w:top w:val="nil"/>
              <w:left w:val="nil"/>
              <w:bottom w:val="single" w:sz="8" w:space="0" w:color="auto"/>
              <w:right w:val="nil"/>
            </w:tcBorders>
            <w:shd w:val="clear" w:color="auto" w:fill="auto"/>
            <w:noWrap/>
            <w:vAlign w:val="center"/>
            <w:hideMark/>
          </w:tcPr>
          <w:p w14:paraId="78A2E8BA" w14:textId="77777777" w:rsidR="005B2310" w:rsidRDefault="005B2310">
            <w:pPr>
              <w:jc w:val="center"/>
              <w:rPr>
                <w:rFonts w:eastAsia="DengXian"/>
                <w:color w:val="000000"/>
              </w:rPr>
            </w:pPr>
            <w:r>
              <w:rPr>
                <w:rFonts w:eastAsia="DengXian"/>
                <w:color w:val="000000"/>
              </w:rPr>
              <w:t>8.09</w:t>
            </w:r>
          </w:p>
        </w:tc>
      </w:tr>
    </w:tbl>
    <w:p w14:paraId="5EAFF180" w14:textId="0E9FBC04" w:rsidR="005B2310" w:rsidRDefault="005B2310" w:rsidP="005B2310">
      <w:pPr>
        <w:spacing w:afterLines="100" w:after="240"/>
        <w:jc w:val="both"/>
        <w:rPr>
          <w:rFonts w:eastAsiaTheme="minorEastAsia"/>
          <w:lang w:eastAsia="en-US"/>
        </w:rPr>
      </w:pPr>
      <w:r>
        <w:rPr>
          <w:rFonts w:eastAsiaTheme="minorEastAsia"/>
          <w:lang w:eastAsia="en-US"/>
        </w:rPr>
        <w:t xml:space="preserve">Note: </w:t>
      </w:r>
      <w:r w:rsidR="00375C92">
        <w:rPr>
          <w:rFonts w:eastAsiaTheme="minorEastAsia"/>
          <w:lang w:eastAsia="en-US"/>
        </w:rPr>
        <w:t>R</w:t>
      </w:r>
      <w:r w:rsidR="00375C92" w:rsidRPr="00375C92">
        <w:rPr>
          <w:rFonts w:eastAsiaTheme="minorEastAsia"/>
          <w:vertAlign w:val="superscript"/>
          <w:lang w:eastAsia="en-US"/>
        </w:rPr>
        <w:t>2</w:t>
      </w:r>
      <w:r w:rsidR="00375C92">
        <w:rPr>
          <w:rFonts w:eastAsiaTheme="minorEastAsia"/>
          <w:lang w:eastAsia="en-US"/>
        </w:rPr>
        <w:t xml:space="preserve"> for each linear regression had unit value. For Site W, PFDA peak did not arrive within 150 years after applying biosolids.</w:t>
      </w:r>
    </w:p>
    <w:p w14:paraId="254625EB" w14:textId="2E93BADE" w:rsidR="00E83C66" w:rsidRPr="00E83C66" w:rsidRDefault="00E83C66" w:rsidP="005B2310">
      <w:pPr>
        <w:spacing w:afterLines="100" w:after="240"/>
        <w:jc w:val="both"/>
        <w:rPr>
          <w:rFonts w:eastAsiaTheme="minorEastAsia"/>
          <w:i/>
          <w:iCs/>
          <w:lang w:eastAsia="en-US"/>
        </w:rPr>
      </w:pPr>
      <w:bookmarkStart w:id="5" w:name="OLE_LINK23"/>
      <w:r w:rsidRPr="00E83C66">
        <w:rPr>
          <w:rFonts w:eastAsiaTheme="minorEastAsia"/>
          <w:i/>
          <w:iCs/>
          <w:lang w:eastAsia="en-US"/>
        </w:rPr>
        <w:t>2.3 Groundwater Concentration Estimation</w:t>
      </w:r>
    </w:p>
    <w:p w14:paraId="34F68DDA" w14:textId="21BC2EE5" w:rsidR="00AD6BFD" w:rsidRDefault="00AD6BFD" w:rsidP="00EA37E9">
      <w:pPr>
        <w:spacing w:afterLines="100" w:after="240"/>
        <w:jc w:val="both"/>
        <w:rPr>
          <w:rFonts w:eastAsiaTheme="minorEastAsia"/>
        </w:rPr>
      </w:pPr>
      <w:r w:rsidRPr="00AD6BFD">
        <w:rPr>
          <w:rFonts w:eastAsiaTheme="minorEastAsia"/>
        </w:rPr>
        <w:t>To estimate PFAS concentrations at a down-gradient receptor (e.g., a groundwater well or adjacent surface water body), attenuation processes during transport through the saturated zone were considered. These processes include dilution and dispersion, which can significantly reduce contaminant concentrations with increasing distance from the source.</w:t>
      </w:r>
    </w:p>
    <w:p w14:paraId="1962CF3C" w14:textId="73EB2076" w:rsidR="00AD6BFD" w:rsidRDefault="00AD6BFD" w:rsidP="00EA37E9">
      <w:pPr>
        <w:spacing w:afterLines="100" w:after="240"/>
        <w:jc w:val="both"/>
      </w:pPr>
      <w:r>
        <w:t xml:space="preserve">We applied a simplified analytical solution for solute transport in saturated porous media, adapted from </w:t>
      </w:r>
      <w:r>
        <w:fldChar w:fldCharType="begin"/>
      </w:r>
      <w:r>
        <w:instrText xml:space="preserve"> ADDIN EN.CITE &lt;EndNote&gt;&lt;Cite AuthorYear="1"&gt;&lt;Author&gt;Silva&lt;/Author&gt;&lt;Year&gt;2022&lt;/Year&gt;&lt;RecNum&gt;3&lt;/RecNum&gt;&lt;DisplayText&gt;Silva et al. (2022)&lt;/DisplayText&gt;&lt;record&gt;&lt;rec-number&gt;3&lt;/rec-number&gt;&lt;foreign-keys&gt;&lt;key app="EN" db-id="fvdzdwrv4rwazae20asvzrxwfss5zrtsdext" timestamp="1744917692"&gt;3&lt;/key&gt;&lt;/foreign-keys&gt;&lt;ref-type name="Journal Article"&gt;17&lt;/ref-type&gt;&lt;contributors&gt;&lt;authors&gt;&lt;author&gt;Silva, Jeff A. K.&lt;/author&gt;&lt;author&gt;Guelfo, Jennifer L.&lt;/author&gt;&lt;author&gt;Šimůnek, Jiří&lt;/author&gt;&lt;author&gt;McCray, John E.&lt;/author&gt;&lt;/authors&gt;&lt;/contributors&gt;&lt;titles&gt;&lt;title&gt;Simulated leaching of PFAS from land-applied municipal biosolids at agricultural sites&lt;/title&gt;&lt;secondary-title&gt;Journal of Contaminant Hydrology&lt;/secondary-title&gt;&lt;/titles&gt;&lt;periodical&gt;&lt;full-title&gt;Journal of Contaminant Hydrology&lt;/full-title&gt;&lt;/periodical&gt;&lt;pages&gt;104089&lt;/pages&gt;&lt;volume&gt;251&lt;/volume&gt;&lt;keywords&gt;&lt;keyword&gt;Land-applied biosolids&lt;/keyword&gt;&lt;keyword&gt;PFAS leaching&lt;/keyword&gt;&lt;keyword&gt;PFAS vadose zone transport&lt;/keyword&gt;&lt;keyword&gt;Numerical modeling&lt;/keyword&gt;&lt;keyword&gt;PFAS source term modeling&lt;/keyword&gt;&lt;keyword&gt;Best management practices&lt;/keyword&gt;&lt;/keywords&gt;&lt;dates&gt;&lt;year&gt;2022&lt;/year&gt;&lt;pub-dates&gt;&lt;date&gt;2022/12/01/&lt;/date&gt;&lt;/pub-dates&gt;&lt;/dates&gt;&lt;isbn&gt;0169-7722&lt;/isbn&gt;&lt;urls&gt;&lt;related-urls&gt;&lt;url&gt;https://www.sciencedirect.com/science/article/pii/S0169772222001371&lt;/url&gt;&lt;/related-urls&gt;&lt;/urls&gt;&lt;electronic-resource-num&gt;https://doi.org/10.1016/j.jconhyd.2022.104089&lt;/electronic-resource-num&gt;&lt;/record&gt;&lt;/Cite&gt;&lt;/EndNote&gt;</w:instrText>
      </w:r>
      <w:r>
        <w:fldChar w:fldCharType="separate"/>
      </w:r>
      <w:r>
        <w:rPr>
          <w:noProof/>
        </w:rPr>
        <w:t>Silva et al. (2022)</w:t>
      </w:r>
      <w:r>
        <w:fldChar w:fldCharType="end"/>
      </w:r>
      <w:r>
        <w:t>, to quantify the attenuation of PFAS leachate between the source zone and receptor location. The solution expresses the dilution attenuation factor (DAF) as a function of source dimensions and hydrogeological parameters (Eq. 4):</w:t>
      </w:r>
    </w:p>
    <w:p w14:paraId="511EF85A" w14:textId="2C2A7BB9" w:rsidR="00AD6BFD" w:rsidRDefault="00000000" w:rsidP="00EA37E9">
      <w:pPr>
        <w:spacing w:afterLines="100" w:after="240"/>
        <w:jc w:val="both"/>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DAF</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erf</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4</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y</m:t>
                                  </m:r>
                                </m:sub>
                              </m:sSub>
                              <m:r>
                                <w:rPr>
                                  <w:rFonts w:ascii="Cambria Math" w:eastAsiaTheme="minorEastAsia" w:hAnsi="Cambria Math"/>
                                </w:rPr>
                                <m:t>x</m:t>
                              </m:r>
                            </m:e>
                          </m:rad>
                        </m:den>
                      </m:f>
                    </m:e>
                  </m:d>
                  <m:r>
                    <w:rPr>
                      <w:rFonts w:ascii="Cambria Math" w:eastAsiaTheme="minorEastAsia" w:hAnsi="Cambria Math"/>
                    </w:rPr>
                    <m:t>erf</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gw</m:t>
                              </m:r>
                            </m:sub>
                          </m:sSub>
                        </m:num>
                        <m:den>
                          <m:r>
                            <w:rPr>
                              <w:rFonts w:ascii="Cambria Math" w:eastAsiaTheme="minorEastAsia" w:hAnsi="Cambria Math"/>
                            </w:rPr>
                            <m:t>2</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z</m:t>
                                  </m:r>
                                </m:sub>
                              </m:sSub>
                              <m:r>
                                <w:rPr>
                                  <w:rFonts w:ascii="Cambria Math" w:eastAsiaTheme="minorEastAsia" w:hAnsi="Cambria Math"/>
                                </w:rPr>
                                <m:t>x</m:t>
                              </m:r>
                            </m:e>
                          </m:rad>
                        </m:den>
                      </m:f>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Eq.4</m:t>
                  </m:r>
                </m:e>
              </m:d>
            </m:e>
          </m:eqArr>
        </m:oMath>
      </m:oMathPara>
    </w:p>
    <w:p w14:paraId="5B9653BE" w14:textId="77777777" w:rsidR="00196C4B" w:rsidRPr="0049428C" w:rsidRDefault="00196C4B" w:rsidP="00196C4B">
      <w:r>
        <w:rPr>
          <w:rFonts w:eastAsiaTheme="minorEastAsia"/>
        </w:rPr>
        <w:t>where:</w:t>
      </w:r>
    </w:p>
    <w:p w14:paraId="311789C0" w14:textId="77777777" w:rsidR="00196C4B" w:rsidRDefault="00196C4B" w:rsidP="00196C4B">
      <w:pPr>
        <w:ind w:firstLine="720"/>
      </w:pPr>
      <m:oMath>
        <m:r>
          <w:rPr>
            <w:rFonts w:ascii="Cambria Math" w:hAnsi="Cambria Math"/>
          </w:rPr>
          <m:t>C</m:t>
        </m:r>
      </m:oMath>
      <w:r>
        <w:t xml:space="preserve"> = Dissolved-phase concentration (ML</w:t>
      </w:r>
      <w:r w:rsidRPr="0012738A">
        <w:rPr>
          <w:vertAlign w:val="superscript"/>
        </w:rPr>
        <w:t>-</w:t>
      </w:r>
      <w:r>
        <w:rPr>
          <w:vertAlign w:val="superscript"/>
        </w:rPr>
        <w:t>3</w:t>
      </w:r>
      <w:r>
        <w:t>)</w:t>
      </w:r>
    </w:p>
    <w:p w14:paraId="6F0C498A" w14:textId="77777777" w:rsidR="00196C4B" w:rsidRDefault="00000000" w:rsidP="00196C4B">
      <w:pPr>
        <w:ind w:firstLine="720"/>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m:t>
            </m:r>
          </m:sub>
        </m:sSub>
      </m:oMath>
      <w:r w:rsidR="00196C4B">
        <w:rPr>
          <w:rFonts w:eastAsiaTheme="minorEastAsia"/>
        </w:rPr>
        <w:t xml:space="preserve"> = Dissolved-phase concentration at the source (ML</w:t>
      </w:r>
      <w:r w:rsidR="00196C4B" w:rsidRPr="0012738A">
        <w:rPr>
          <w:rFonts w:eastAsiaTheme="minorEastAsia"/>
          <w:vertAlign w:val="superscript"/>
        </w:rPr>
        <w:t>-</w:t>
      </w:r>
      <w:r w:rsidR="00196C4B">
        <w:rPr>
          <w:rFonts w:eastAsiaTheme="minorEastAsia"/>
          <w:vertAlign w:val="superscript"/>
        </w:rPr>
        <w:t>3</w:t>
      </w:r>
      <w:r w:rsidR="00196C4B">
        <w:rPr>
          <w:rFonts w:eastAsiaTheme="minorEastAsia"/>
        </w:rPr>
        <w:t>)</w:t>
      </w:r>
    </w:p>
    <w:p w14:paraId="456E1537" w14:textId="77777777" w:rsidR="00196C4B" w:rsidRDefault="00196C4B" w:rsidP="00196C4B">
      <w:pPr>
        <w:ind w:firstLine="720"/>
        <w:rPr>
          <w:rFonts w:eastAsiaTheme="minorEastAsia"/>
        </w:rPr>
      </w:pPr>
      <m:oMath>
        <m:r>
          <w:rPr>
            <w:rFonts w:ascii="Cambria Math" w:hAnsi="Cambria Math"/>
          </w:rPr>
          <w:lastRenderedPageBreak/>
          <m:t>x</m:t>
        </m:r>
      </m:oMath>
      <w:r>
        <w:rPr>
          <w:rFonts w:eastAsiaTheme="minorEastAsia"/>
        </w:rPr>
        <w:t xml:space="preserve"> = Spatial coordinates (L)</w:t>
      </w:r>
    </w:p>
    <w:p w14:paraId="2B30AFFB" w14:textId="77777777" w:rsidR="00196C4B" w:rsidRDefault="00000000" w:rsidP="00196C4B">
      <w:pPr>
        <w:ind w:firstLine="720"/>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y</m:t>
            </m:r>
          </m:sub>
        </m:sSub>
      </m:oMath>
      <w:r w:rsidR="00196C4B">
        <w:rPr>
          <w:rFonts w:eastAsiaTheme="minorEastAsia"/>
        </w:rPr>
        <w:t xml:space="preserve"> = Lateral dispersivity (L)</w:t>
      </w:r>
    </w:p>
    <w:p w14:paraId="05DBF13A" w14:textId="77777777" w:rsidR="00196C4B" w:rsidRDefault="00000000" w:rsidP="00196C4B">
      <w:pPr>
        <w:ind w:firstLine="720"/>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z</m:t>
            </m:r>
          </m:sub>
        </m:sSub>
      </m:oMath>
      <w:r w:rsidR="00196C4B">
        <w:rPr>
          <w:rFonts w:eastAsiaTheme="minorEastAsia"/>
        </w:rPr>
        <w:t xml:space="preserve"> = Vertical dispersivity (L)</w:t>
      </w:r>
    </w:p>
    <w:p w14:paraId="61C1E4A8" w14:textId="77777777" w:rsidR="00196C4B" w:rsidRDefault="00196C4B" w:rsidP="00196C4B">
      <w:pPr>
        <w:ind w:firstLine="720"/>
        <w:rPr>
          <w:rFonts w:eastAsiaTheme="minorEastAsia"/>
        </w:rPr>
      </w:pPr>
      <m:oMath>
        <m:r>
          <w:rPr>
            <w:rFonts w:ascii="Cambria Math" w:eastAsiaTheme="minorEastAsia" w:hAnsi="Cambria Math"/>
          </w:rPr>
          <m:t>Y</m:t>
        </m:r>
      </m:oMath>
      <w:r>
        <w:rPr>
          <w:rFonts w:eastAsiaTheme="minorEastAsia"/>
        </w:rPr>
        <w:t xml:space="preserve"> = Width of the soil source area perpendicular to the groundwater flow direction (L)</w:t>
      </w:r>
    </w:p>
    <w:p w14:paraId="666DEFC6" w14:textId="77777777" w:rsidR="00196C4B" w:rsidRDefault="00000000" w:rsidP="00196C4B">
      <w:pPr>
        <w:ind w:firstLine="720"/>
        <w:rPr>
          <w:rFonts w:eastAsiaTheme="minorEastAsia"/>
        </w:rPr>
      </w:pP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gw</m:t>
            </m:r>
          </m:sub>
        </m:sSub>
      </m:oMath>
      <w:r w:rsidR="00196C4B">
        <w:rPr>
          <w:rFonts w:eastAsiaTheme="minorEastAsia"/>
        </w:rPr>
        <w:t xml:space="preserve"> = Groundwater mixing zone thickness (L)</w:t>
      </w:r>
    </w:p>
    <w:p w14:paraId="6F423FCB" w14:textId="5FBE6FB4" w:rsidR="00196C4B" w:rsidRDefault="00196C4B" w:rsidP="00196C4B">
      <w:pPr>
        <w:spacing w:afterLines="100" w:after="240"/>
        <w:ind w:firstLine="720"/>
        <w:rPr>
          <w:rFonts w:eastAsiaTheme="minorEastAsia"/>
        </w:rPr>
      </w:pPr>
      <m:oMath>
        <m:r>
          <w:rPr>
            <w:rFonts w:ascii="Cambria Math" w:eastAsiaTheme="minorEastAsia" w:hAnsi="Cambria Math"/>
          </w:rPr>
          <m:t>DAF</m:t>
        </m:r>
      </m:oMath>
      <w:r>
        <w:rPr>
          <w:rFonts w:eastAsiaTheme="minorEastAsia"/>
        </w:rPr>
        <w:t xml:space="preserve"> = Dilution attenuation factor (-) =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m:t>
            </m:r>
          </m:sub>
        </m:sSub>
        <m:r>
          <w:rPr>
            <w:rFonts w:ascii="Cambria Math" w:eastAsiaTheme="minorEastAsia" w:hAnsi="Cambria Math"/>
          </w:rPr>
          <m:t>/C</m:t>
        </m:r>
      </m:oMath>
    </w:p>
    <w:p w14:paraId="209F4301" w14:textId="5822FA16" w:rsidR="00196C4B" w:rsidRDefault="00196C4B" w:rsidP="00196C4B">
      <w:pPr>
        <w:spacing w:afterLines="100" w:after="240"/>
        <w:jc w:val="both"/>
        <w:rPr>
          <w:rFonts w:eastAsiaTheme="minorEastAsia"/>
          <w:lang w:eastAsia="en-US"/>
        </w:rPr>
      </w:pPr>
      <w:r w:rsidRPr="00196C4B">
        <w:rPr>
          <w:rFonts w:eastAsiaTheme="minorEastAsia"/>
          <w:lang w:eastAsia="en-US"/>
        </w:rPr>
        <w:t xml:space="preserve">For this analysis, site-specific parameter values were adopted based on assumptions from prior literature and common practice in vadose zone modeling. </w:t>
      </w:r>
      <w:commentRangeStart w:id="6"/>
      <w:r w:rsidRPr="00196C4B">
        <w:rPr>
          <w:rFonts w:eastAsiaTheme="minorEastAsia"/>
          <w:lang w:eastAsia="en-US"/>
        </w:rPr>
        <w:t>Specifically, the width of the source area (Y) was assumed to be 5 meters, representing a typical biosolids application width perpendicular to groundwater flow. The groundwater mixing zone thickness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gw</m:t>
            </m:r>
          </m:sub>
        </m:sSub>
      </m:oMath>
      <w:r w:rsidRPr="00196C4B">
        <w:rPr>
          <w:rFonts w:eastAsiaTheme="minorEastAsia"/>
          <w:lang w:eastAsia="en-US"/>
        </w:rPr>
        <w:t>) was set at 2 meters. Lateral and vertical dispersivities were assumed to be 0.5 meters and 0.1 meters, respectively</w:t>
      </w:r>
      <w:commentRangeEnd w:id="6"/>
      <w:r>
        <w:rPr>
          <w:rStyle w:val="CommentReference"/>
        </w:rPr>
        <w:commentReference w:id="6"/>
      </w:r>
      <w:r w:rsidRPr="00196C4B">
        <w:rPr>
          <w:rFonts w:eastAsiaTheme="minorEastAsia"/>
          <w:lang w:eastAsia="en-US"/>
        </w:rPr>
        <w:t>.</w:t>
      </w:r>
    </w:p>
    <w:p w14:paraId="18B76785" w14:textId="7EF7D9BD" w:rsidR="00196C4B" w:rsidRPr="00196C4B" w:rsidRDefault="00196C4B" w:rsidP="00196C4B">
      <w:pPr>
        <w:spacing w:before="100" w:beforeAutospacing="1" w:after="100" w:afterAutospacing="1"/>
        <w:jc w:val="both"/>
      </w:pPr>
      <w:r>
        <w:t>This approach enables estimation of PFAS concentrations at the receptor location by applying the DAF to the modeled leachate concentration (</w:t>
      </w:r>
      <m:oMath>
        <m:sSub>
          <m:sSubPr>
            <m:ctrlPr>
              <w:rPr>
                <w:rFonts w:ascii="Cambria Math" w:eastAsiaTheme="minorEastAsia" w:hAnsi="Cambria Math" w:cstheme="minorBidi"/>
                <w:i/>
                <w:szCs w:val="22"/>
                <w:lang w:val="en-US" w:eastAsia="en-US"/>
              </w:rPr>
            </m:ctrlPr>
          </m:sSubPr>
          <m:e>
            <m:r>
              <w:rPr>
                <w:rFonts w:ascii="Cambria Math" w:eastAsiaTheme="minorEastAsia" w:hAnsi="Cambria Math"/>
              </w:rPr>
              <m:t>C</m:t>
            </m:r>
          </m:e>
          <m:sub>
            <m:r>
              <w:rPr>
                <w:rFonts w:ascii="Cambria Math" w:eastAsiaTheme="minorEastAsia" w:hAnsi="Cambria Math"/>
              </w:rPr>
              <m:t>w,max</m:t>
            </m:r>
          </m:sub>
        </m:sSub>
      </m:oMath>
      <w:r>
        <w:t>) reaching the saturated zone. It thus provides a simplified yet robust method for linking source-term modeling with potential exposure concentrations at downgradient points of concern.</w:t>
      </w:r>
    </w:p>
    <w:bookmarkEnd w:id="5"/>
    <w:p w14:paraId="4BB0082E" w14:textId="49EB5790" w:rsidR="00BA18BD" w:rsidRPr="00BA18BD" w:rsidRDefault="00BA18BD" w:rsidP="005B2310">
      <w:pPr>
        <w:spacing w:afterLines="100" w:after="240"/>
        <w:jc w:val="both"/>
        <w:rPr>
          <w:rFonts w:eastAsiaTheme="minorEastAsia"/>
          <w:b/>
          <w:bCs/>
          <w:lang w:eastAsia="en-US"/>
        </w:rPr>
      </w:pPr>
      <w:r w:rsidRPr="00BA18BD">
        <w:rPr>
          <w:rFonts w:eastAsiaTheme="minorEastAsia" w:hint="eastAsia"/>
          <w:b/>
          <w:bCs/>
          <w:lang w:eastAsia="en-US"/>
        </w:rPr>
        <w:t>Reference:</w:t>
      </w:r>
    </w:p>
    <w:p w14:paraId="1FDEC111" w14:textId="0A6FB0CD" w:rsidR="00196C4B" w:rsidRPr="00196C4B" w:rsidRDefault="00BA18BD" w:rsidP="00196C4B">
      <w:pPr>
        <w:pStyle w:val="EndNoteBibliography"/>
        <w:ind w:left="720" w:hanging="720"/>
        <w:rPr>
          <w:noProof/>
        </w:rPr>
      </w:pPr>
      <w:r>
        <w:rPr>
          <w:rFonts w:eastAsiaTheme="minorEastAsia"/>
          <w:lang w:eastAsia="en-US"/>
        </w:rPr>
        <w:fldChar w:fldCharType="begin"/>
      </w:r>
      <w:r>
        <w:rPr>
          <w:rFonts w:eastAsiaTheme="minorEastAsia"/>
          <w:lang w:eastAsia="en-US"/>
        </w:rPr>
        <w:instrText xml:space="preserve"> ADDIN EN.REFLIST </w:instrText>
      </w:r>
      <w:r>
        <w:rPr>
          <w:rFonts w:eastAsiaTheme="minorEastAsia"/>
          <w:lang w:eastAsia="en-US"/>
        </w:rPr>
        <w:fldChar w:fldCharType="separate"/>
      </w:r>
      <w:r w:rsidR="00196C4B" w:rsidRPr="00196C4B">
        <w:rPr>
          <w:noProof/>
        </w:rPr>
        <w:t xml:space="preserve">Higgins, C. P., Paesani, Z. J., Abbott Chalew, T. E., Halden, R. U., &amp; Hundal, L. S. (2011). Persistence of triclocarban and triclosan in soils after land application of biosolids and bioaccumulation in &lt;i&gt;Eisenia foetida&lt;/i&gt;. </w:t>
      </w:r>
      <w:r w:rsidR="00196C4B" w:rsidRPr="00196C4B">
        <w:rPr>
          <w:i/>
          <w:noProof/>
        </w:rPr>
        <w:t>Environmental Toxicology and Chemistry</w:t>
      </w:r>
      <w:r w:rsidR="00196C4B" w:rsidRPr="00196C4B">
        <w:rPr>
          <w:noProof/>
        </w:rPr>
        <w:t>,</w:t>
      </w:r>
      <w:r w:rsidR="00196C4B" w:rsidRPr="00196C4B">
        <w:rPr>
          <w:i/>
          <w:noProof/>
        </w:rPr>
        <w:t xml:space="preserve"> 30</w:t>
      </w:r>
      <w:r w:rsidR="00196C4B" w:rsidRPr="00196C4B">
        <w:rPr>
          <w:noProof/>
        </w:rPr>
        <w:t xml:space="preserve">(3), 556-563. </w:t>
      </w:r>
      <w:hyperlink r:id="rId10" w:history="1">
        <w:r w:rsidR="00196C4B" w:rsidRPr="00196C4B">
          <w:rPr>
            <w:rStyle w:val="Hyperlink"/>
            <w:noProof/>
          </w:rPr>
          <w:t>https://doi.org/10.1002/etc.416</w:t>
        </w:r>
      </w:hyperlink>
      <w:r w:rsidR="00196C4B" w:rsidRPr="00196C4B">
        <w:rPr>
          <w:noProof/>
        </w:rPr>
        <w:t xml:space="preserve"> </w:t>
      </w:r>
    </w:p>
    <w:p w14:paraId="44628FF8" w14:textId="3B4E6358" w:rsidR="00196C4B" w:rsidRPr="00196C4B" w:rsidRDefault="00196C4B" w:rsidP="00196C4B">
      <w:pPr>
        <w:pStyle w:val="EndNoteBibliography"/>
        <w:ind w:left="720" w:hanging="720"/>
        <w:rPr>
          <w:noProof/>
        </w:rPr>
      </w:pPr>
      <w:r w:rsidRPr="00196C4B">
        <w:rPr>
          <w:noProof/>
        </w:rPr>
        <w:t xml:space="preserve">Sepulvado, J. G., Blaine, A. C., Hundal, L. S., &amp; Higgins, C. P. (2011). Occurrence and Fate of Perfluorochemicals in Soil Following the Land Application of Municipal Biosolids. </w:t>
      </w:r>
      <w:r w:rsidRPr="00196C4B">
        <w:rPr>
          <w:i/>
          <w:noProof/>
        </w:rPr>
        <w:t>Environmental Science &amp;amp; Technology</w:t>
      </w:r>
      <w:r w:rsidRPr="00196C4B">
        <w:rPr>
          <w:noProof/>
        </w:rPr>
        <w:t>,</w:t>
      </w:r>
      <w:r w:rsidRPr="00196C4B">
        <w:rPr>
          <w:i/>
          <w:noProof/>
        </w:rPr>
        <w:t xml:space="preserve"> 45</w:t>
      </w:r>
      <w:r w:rsidRPr="00196C4B">
        <w:rPr>
          <w:noProof/>
        </w:rPr>
        <w:t xml:space="preserve">(19), 8106-8112. </w:t>
      </w:r>
      <w:hyperlink r:id="rId11" w:history="1">
        <w:r w:rsidRPr="00196C4B">
          <w:rPr>
            <w:rStyle w:val="Hyperlink"/>
            <w:noProof/>
          </w:rPr>
          <w:t>https://doi.org/10.1021/es103903d</w:t>
        </w:r>
      </w:hyperlink>
      <w:r w:rsidRPr="00196C4B">
        <w:rPr>
          <w:noProof/>
        </w:rPr>
        <w:t xml:space="preserve"> </w:t>
      </w:r>
    </w:p>
    <w:p w14:paraId="5BCCD954" w14:textId="7206CF47" w:rsidR="00196C4B" w:rsidRPr="00196C4B" w:rsidRDefault="00196C4B" w:rsidP="00196C4B">
      <w:pPr>
        <w:pStyle w:val="EndNoteBibliography"/>
        <w:ind w:left="720" w:hanging="720"/>
        <w:rPr>
          <w:noProof/>
        </w:rPr>
      </w:pPr>
      <w:r w:rsidRPr="00196C4B">
        <w:rPr>
          <w:noProof/>
        </w:rPr>
        <w:t xml:space="preserve">Silva, J. A. K., Guelfo, J. L., Šimůnek, J., &amp; McCray, J. E. (2022). Simulated leaching of PFAS from land-applied municipal biosolids at agricultural sites. </w:t>
      </w:r>
      <w:r w:rsidRPr="00196C4B">
        <w:rPr>
          <w:i/>
          <w:noProof/>
        </w:rPr>
        <w:t>Journal of Contaminant Hydrology</w:t>
      </w:r>
      <w:r w:rsidRPr="00196C4B">
        <w:rPr>
          <w:noProof/>
        </w:rPr>
        <w:t>,</w:t>
      </w:r>
      <w:r w:rsidRPr="00196C4B">
        <w:rPr>
          <w:i/>
          <w:noProof/>
        </w:rPr>
        <w:t xml:space="preserve"> 251</w:t>
      </w:r>
      <w:r w:rsidRPr="00196C4B">
        <w:rPr>
          <w:noProof/>
        </w:rPr>
        <w:t xml:space="preserve">, 104089. </w:t>
      </w:r>
      <w:hyperlink r:id="rId12" w:history="1">
        <w:r w:rsidRPr="00196C4B">
          <w:rPr>
            <w:rStyle w:val="Hyperlink"/>
            <w:noProof/>
          </w:rPr>
          <w:t>https://doi.org/https://doi.org/10.1016/j.jconhyd.2022.104089</w:t>
        </w:r>
      </w:hyperlink>
      <w:r w:rsidRPr="00196C4B">
        <w:rPr>
          <w:noProof/>
        </w:rPr>
        <w:t xml:space="preserve"> </w:t>
      </w:r>
    </w:p>
    <w:p w14:paraId="56E7DBAE" w14:textId="110A863F" w:rsidR="00E83C66" w:rsidRDefault="00BA18BD" w:rsidP="005B2310">
      <w:pPr>
        <w:spacing w:afterLines="100" w:after="240"/>
        <w:jc w:val="both"/>
        <w:rPr>
          <w:rFonts w:eastAsiaTheme="minorEastAsia"/>
          <w:lang w:eastAsia="en-US"/>
        </w:rPr>
      </w:pPr>
      <w:r>
        <w:rPr>
          <w:rFonts w:eastAsiaTheme="minorEastAsia"/>
          <w:lang w:eastAsia="en-US"/>
        </w:rPr>
        <w:fldChar w:fldCharType="end"/>
      </w:r>
    </w:p>
    <w:sectPr w:rsidR="00E83C6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稼禾 田" w:date="2025-04-18T09:09:00Z" w:initials="稼田">
    <w:p w14:paraId="54FFDC51" w14:textId="77777777" w:rsidR="00870105" w:rsidRDefault="00870105" w:rsidP="00870105">
      <w:r>
        <w:rPr>
          <w:rStyle w:val="CommentReference"/>
        </w:rPr>
        <w:annotationRef/>
      </w:r>
      <w:r>
        <w:rPr>
          <w:color w:val="000000"/>
          <w:sz w:val="20"/>
          <w:szCs w:val="20"/>
        </w:rPr>
        <w:t>we adapt this model</w:t>
      </w:r>
    </w:p>
  </w:comment>
  <w:comment w:id="6" w:author="稼禾 田" w:date="2025-04-18T08:01:00Z" w:initials="稼田">
    <w:p w14:paraId="5BBC9975" w14:textId="4182EC5E" w:rsidR="00146EBE" w:rsidRDefault="00196C4B" w:rsidP="00146EBE">
      <w:r>
        <w:rPr>
          <w:rStyle w:val="CommentReference"/>
        </w:rPr>
        <w:annotationRef/>
      </w:r>
      <w:r w:rsidR="00146EBE">
        <w:rPr>
          <w:sz w:val="20"/>
          <w:szCs w:val="20"/>
        </w:rPr>
        <w:t>Need to find reference and revise the parameters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FFDC51" w15:done="0"/>
  <w15:commentEx w15:paraId="5BBC99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A84E75" w16cex:dateUtc="2025-04-18T13:09:00Z"/>
  <w16cex:commentExtensible w16cex:durableId="2466DB1D" w16cex:dateUtc="2025-04-18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FFDC51" w16cid:durableId="6DA84E75"/>
  <w16cid:commentId w16cid:paraId="5BBC9975" w16cid:durableId="2466DB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768"/>
    <w:multiLevelType w:val="multilevel"/>
    <w:tmpl w:val="F66E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977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稼禾 田">
    <w15:presenceInfo w15:providerId="Windows Live" w15:userId="05392933318ae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vdzdwrv4rwazae20asvzrxwfss5zrtsdext&quot;&gt;Biosolids&lt;record-ids&gt;&lt;item&gt;1&lt;/item&gt;&lt;item&gt;2&lt;/item&gt;&lt;item&gt;3&lt;/item&gt;&lt;/record-ids&gt;&lt;/item&gt;&lt;/Libraries&gt;"/>
  </w:docVars>
  <w:rsids>
    <w:rsidRoot w:val="00B85CCB"/>
    <w:rsid w:val="00081E5C"/>
    <w:rsid w:val="000A339C"/>
    <w:rsid w:val="00146EBE"/>
    <w:rsid w:val="00175B61"/>
    <w:rsid w:val="00196C4B"/>
    <w:rsid w:val="001E79A2"/>
    <w:rsid w:val="001F47B1"/>
    <w:rsid w:val="00210D03"/>
    <w:rsid w:val="0026436A"/>
    <w:rsid w:val="002665F8"/>
    <w:rsid w:val="00284CBC"/>
    <w:rsid w:val="002E6464"/>
    <w:rsid w:val="00361E79"/>
    <w:rsid w:val="00375C92"/>
    <w:rsid w:val="00383AB4"/>
    <w:rsid w:val="00384E01"/>
    <w:rsid w:val="004601EE"/>
    <w:rsid w:val="004F1A61"/>
    <w:rsid w:val="004F60C7"/>
    <w:rsid w:val="005B2310"/>
    <w:rsid w:val="0061415C"/>
    <w:rsid w:val="00624F3F"/>
    <w:rsid w:val="006301F2"/>
    <w:rsid w:val="006935B6"/>
    <w:rsid w:val="006D47D9"/>
    <w:rsid w:val="007A1B67"/>
    <w:rsid w:val="007D6E84"/>
    <w:rsid w:val="0083524C"/>
    <w:rsid w:val="008476A3"/>
    <w:rsid w:val="008644B6"/>
    <w:rsid w:val="00870105"/>
    <w:rsid w:val="008B50F8"/>
    <w:rsid w:val="00901AAD"/>
    <w:rsid w:val="00970258"/>
    <w:rsid w:val="009738E5"/>
    <w:rsid w:val="00991D48"/>
    <w:rsid w:val="009D2360"/>
    <w:rsid w:val="00A80915"/>
    <w:rsid w:val="00AD6BFD"/>
    <w:rsid w:val="00B85CCB"/>
    <w:rsid w:val="00BA18BD"/>
    <w:rsid w:val="00BB68AB"/>
    <w:rsid w:val="00BE69F5"/>
    <w:rsid w:val="00C17C4A"/>
    <w:rsid w:val="00C669AC"/>
    <w:rsid w:val="00CA5501"/>
    <w:rsid w:val="00CA7448"/>
    <w:rsid w:val="00D3209F"/>
    <w:rsid w:val="00D516D3"/>
    <w:rsid w:val="00D90221"/>
    <w:rsid w:val="00E07B30"/>
    <w:rsid w:val="00E246E7"/>
    <w:rsid w:val="00E5474D"/>
    <w:rsid w:val="00E83C66"/>
    <w:rsid w:val="00E87155"/>
    <w:rsid w:val="00EA37E9"/>
    <w:rsid w:val="00EC3A4E"/>
    <w:rsid w:val="00EC4A4A"/>
    <w:rsid w:val="00F07F98"/>
    <w:rsid w:val="00F34E3C"/>
    <w:rsid w:val="00FC4FC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5678"/>
  <w15:chartTrackingRefBased/>
  <w15:docId w15:val="{729E54F4-1BAD-8645-BD8F-CF22A509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5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C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C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C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C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CCB"/>
    <w:rPr>
      <w:rFonts w:eastAsiaTheme="majorEastAsia" w:cstheme="majorBidi"/>
      <w:color w:val="272727" w:themeColor="text1" w:themeTint="D8"/>
    </w:rPr>
  </w:style>
  <w:style w:type="paragraph" w:styleId="Title">
    <w:name w:val="Title"/>
    <w:basedOn w:val="Normal"/>
    <w:next w:val="Normal"/>
    <w:link w:val="TitleChar"/>
    <w:uiPriority w:val="10"/>
    <w:qFormat/>
    <w:rsid w:val="00B85C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CCB"/>
    <w:pPr>
      <w:spacing w:before="160"/>
      <w:jc w:val="center"/>
    </w:pPr>
    <w:rPr>
      <w:i/>
      <w:iCs/>
      <w:color w:val="404040" w:themeColor="text1" w:themeTint="BF"/>
    </w:rPr>
  </w:style>
  <w:style w:type="character" w:customStyle="1" w:styleId="QuoteChar">
    <w:name w:val="Quote Char"/>
    <w:basedOn w:val="DefaultParagraphFont"/>
    <w:link w:val="Quote"/>
    <w:uiPriority w:val="29"/>
    <w:rsid w:val="00B85CCB"/>
    <w:rPr>
      <w:i/>
      <w:iCs/>
      <w:color w:val="404040" w:themeColor="text1" w:themeTint="BF"/>
    </w:rPr>
  </w:style>
  <w:style w:type="paragraph" w:styleId="ListParagraph">
    <w:name w:val="List Paragraph"/>
    <w:basedOn w:val="Normal"/>
    <w:uiPriority w:val="34"/>
    <w:qFormat/>
    <w:rsid w:val="00B85CCB"/>
    <w:pPr>
      <w:ind w:left="720"/>
      <w:contextualSpacing/>
    </w:pPr>
  </w:style>
  <w:style w:type="character" w:styleId="IntenseEmphasis">
    <w:name w:val="Intense Emphasis"/>
    <w:basedOn w:val="DefaultParagraphFont"/>
    <w:uiPriority w:val="21"/>
    <w:qFormat/>
    <w:rsid w:val="00B85CCB"/>
    <w:rPr>
      <w:i/>
      <w:iCs/>
      <w:color w:val="0F4761" w:themeColor="accent1" w:themeShade="BF"/>
    </w:rPr>
  </w:style>
  <w:style w:type="paragraph" w:styleId="IntenseQuote">
    <w:name w:val="Intense Quote"/>
    <w:basedOn w:val="Normal"/>
    <w:next w:val="Normal"/>
    <w:link w:val="IntenseQuoteChar"/>
    <w:uiPriority w:val="30"/>
    <w:qFormat/>
    <w:rsid w:val="00B85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CCB"/>
    <w:rPr>
      <w:i/>
      <w:iCs/>
      <w:color w:val="0F4761" w:themeColor="accent1" w:themeShade="BF"/>
    </w:rPr>
  </w:style>
  <w:style w:type="character" w:styleId="IntenseReference">
    <w:name w:val="Intense Reference"/>
    <w:basedOn w:val="DefaultParagraphFont"/>
    <w:uiPriority w:val="32"/>
    <w:qFormat/>
    <w:rsid w:val="00B85CCB"/>
    <w:rPr>
      <w:b/>
      <w:bCs/>
      <w:smallCaps/>
      <w:color w:val="0F4761" w:themeColor="accent1" w:themeShade="BF"/>
      <w:spacing w:val="5"/>
    </w:rPr>
  </w:style>
  <w:style w:type="character" w:styleId="PlaceholderText">
    <w:name w:val="Placeholder Text"/>
    <w:basedOn w:val="DefaultParagraphFont"/>
    <w:uiPriority w:val="99"/>
    <w:semiHidden/>
    <w:rsid w:val="00B85CCB"/>
    <w:rPr>
      <w:color w:val="666666"/>
    </w:rPr>
  </w:style>
  <w:style w:type="paragraph" w:styleId="Caption">
    <w:name w:val="caption"/>
    <w:basedOn w:val="Normal"/>
    <w:next w:val="Normal"/>
    <w:uiPriority w:val="35"/>
    <w:unhideWhenUsed/>
    <w:qFormat/>
    <w:rsid w:val="008644B6"/>
    <w:pPr>
      <w:spacing w:after="200"/>
    </w:pPr>
    <w:rPr>
      <w:i/>
      <w:iCs/>
      <w:color w:val="0E2841" w:themeColor="text2"/>
      <w:sz w:val="18"/>
      <w:szCs w:val="18"/>
    </w:rPr>
  </w:style>
  <w:style w:type="paragraph" w:customStyle="1" w:styleId="EndNoteBibliographyTitle">
    <w:name w:val="EndNote Bibliography Title"/>
    <w:basedOn w:val="Normal"/>
    <w:link w:val="EndNoteBibliographyTitleChar"/>
    <w:rsid w:val="00BA18BD"/>
    <w:pPr>
      <w:jc w:val="center"/>
    </w:pPr>
  </w:style>
  <w:style w:type="character" w:customStyle="1" w:styleId="EndNoteBibliographyTitleChar">
    <w:name w:val="EndNote Bibliography Title Char"/>
    <w:basedOn w:val="DefaultParagraphFont"/>
    <w:link w:val="EndNoteBibliographyTitle"/>
    <w:rsid w:val="00BA18BD"/>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BA18BD"/>
    <w:pPr>
      <w:jc w:val="both"/>
    </w:pPr>
  </w:style>
  <w:style w:type="character" w:customStyle="1" w:styleId="EndNoteBibliographyChar">
    <w:name w:val="EndNote Bibliography Char"/>
    <w:basedOn w:val="DefaultParagraphFont"/>
    <w:link w:val="EndNoteBibliography"/>
    <w:rsid w:val="00BA18BD"/>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A18BD"/>
    <w:rPr>
      <w:color w:val="467886" w:themeColor="hyperlink"/>
      <w:u w:val="single"/>
    </w:rPr>
  </w:style>
  <w:style w:type="character" w:styleId="UnresolvedMention">
    <w:name w:val="Unresolved Mention"/>
    <w:basedOn w:val="DefaultParagraphFont"/>
    <w:uiPriority w:val="99"/>
    <w:semiHidden/>
    <w:unhideWhenUsed/>
    <w:rsid w:val="00BA18BD"/>
    <w:rPr>
      <w:color w:val="605E5C"/>
      <w:shd w:val="clear" w:color="auto" w:fill="E1DFDD"/>
    </w:rPr>
  </w:style>
  <w:style w:type="character" w:styleId="CommentReference">
    <w:name w:val="annotation reference"/>
    <w:basedOn w:val="DefaultParagraphFont"/>
    <w:uiPriority w:val="99"/>
    <w:semiHidden/>
    <w:unhideWhenUsed/>
    <w:rsid w:val="00196C4B"/>
    <w:rPr>
      <w:sz w:val="16"/>
      <w:szCs w:val="16"/>
    </w:rPr>
  </w:style>
  <w:style w:type="paragraph" w:styleId="CommentText">
    <w:name w:val="annotation text"/>
    <w:basedOn w:val="Normal"/>
    <w:link w:val="CommentTextChar"/>
    <w:uiPriority w:val="99"/>
    <w:semiHidden/>
    <w:unhideWhenUsed/>
    <w:rsid w:val="00196C4B"/>
    <w:rPr>
      <w:sz w:val="20"/>
      <w:szCs w:val="20"/>
    </w:rPr>
  </w:style>
  <w:style w:type="character" w:customStyle="1" w:styleId="CommentTextChar">
    <w:name w:val="Comment Text Char"/>
    <w:basedOn w:val="DefaultParagraphFont"/>
    <w:link w:val="CommentText"/>
    <w:uiPriority w:val="99"/>
    <w:semiHidden/>
    <w:rsid w:val="00196C4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96C4B"/>
    <w:rPr>
      <w:b/>
      <w:bCs/>
    </w:rPr>
  </w:style>
  <w:style w:type="character" w:customStyle="1" w:styleId="CommentSubjectChar">
    <w:name w:val="Comment Subject Char"/>
    <w:basedOn w:val="CommentTextChar"/>
    <w:link w:val="CommentSubject"/>
    <w:uiPriority w:val="99"/>
    <w:semiHidden/>
    <w:rsid w:val="00196C4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4077">
      <w:bodyDiv w:val="1"/>
      <w:marLeft w:val="0"/>
      <w:marRight w:val="0"/>
      <w:marTop w:val="0"/>
      <w:marBottom w:val="0"/>
      <w:divBdr>
        <w:top w:val="none" w:sz="0" w:space="0" w:color="auto"/>
        <w:left w:val="none" w:sz="0" w:space="0" w:color="auto"/>
        <w:bottom w:val="none" w:sz="0" w:space="0" w:color="auto"/>
        <w:right w:val="none" w:sz="0" w:space="0" w:color="auto"/>
      </w:divBdr>
    </w:div>
    <w:div w:id="631789760">
      <w:bodyDiv w:val="1"/>
      <w:marLeft w:val="0"/>
      <w:marRight w:val="0"/>
      <w:marTop w:val="0"/>
      <w:marBottom w:val="0"/>
      <w:divBdr>
        <w:top w:val="none" w:sz="0" w:space="0" w:color="auto"/>
        <w:left w:val="none" w:sz="0" w:space="0" w:color="auto"/>
        <w:bottom w:val="none" w:sz="0" w:space="0" w:color="auto"/>
        <w:right w:val="none" w:sz="0" w:space="0" w:color="auto"/>
      </w:divBdr>
    </w:div>
    <w:div w:id="1442802005">
      <w:bodyDiv w:val="1"/>
      <w:marLeft w:val="0"/>
      <w:marRight w:val="0"/>
      <w:marTop w:val="0"/>
      <w:marBottom w:val="0"/>
      <w:divBdr>
        <w:top w:val="none" w:sz="0" w:space="0" w:color="auto"/>
        <w:left w:val="none" w:sz="0" w:space="0" w:color="auto"/>
        <w:bottom w:val="none" w:sz="0" w:space="0" w:color="auto"/>
        <w:right w:val="none" w:sz="0" w:space="0" w:color="auto"/>
      </w:divBdr>
    </w:div>
    <w:div w:id="204964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https://doi.org/10.1016/j.jconhyd.2022.104089"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21/es103903d"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doi.org/10.1002/etc.416" TargetMode="External"/><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4</Pages>
  <Words>2436</Words>
  <Characters>13888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稼禾 田</dc:creator>
  <cp:keywords/>
  <dc:description/>
  <cp:lastModifiedBy>稼禾 田</cp:lastModifiedBy>
  <cp:revision>9</cp:revision>
  <dcterms:created xsi:type="dcterms:W3CDTF">2025-04-15T12:11:00Z</dcterms:created>
  <dcterms:modified xsi:type="dcterms:W3CDTF">2025-04-18T14:36:00Z</dcterms:modified>
</cp:coreProperties>
</file>