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1F48A">
      <w:pPr>
        <w:pStyle w:val="31"/>
        <w:jc w:val="center"/>
      </w:pPr>
      <w:r>
        <w:rPr>
          <w:rFonts w:ascii="微软雅黑" w:hAnsi="微软雅黑" w:eastAsia="微软雅黑" w:cs="微软雅黑"/>
          <w:b w:val="0"/>
          <w:sz w:val="44"/>
        </w:rPr>
        <w:t>销售分析方法说明</w:t>
      </w:r>
    </w:p>
    <w:p w14:paraId="0F6191BA">
      <w:pPr>
        <w:spacing w:after="140" w:line="300" w:lineRule="auto"/>
        <w:ind w:firstLine="312"/>
      </w:pPr>
      <w:r>
        <w:rPr>
          <w:rFonts w:ascii="微软雅黑" w:hAnsi="微软雅黑" w:eastAsia="微软雅黑" w:cs="微软雅黑"/>
          <w:b w:val="0"/>
          <w:sz w:val="20"/>
        </w:rPr>
        <w:t>文档编号：CHN-ANA-METHOD-02　版本：V1.0</w:t>
      </w:r>
    </w:p>
    <w:p w14:paraId="0896784E">
      <w:pPr>
        <w:spacing w:after="140" w:line="300" w:lineRule="auto"/>
        <w:ind w:firstLine="312"/>
      </w:pPr>
      <w:r>
        <w:rPr>
          <w:rFonts w:ascii="微软雅黑" w:hAnsi="微软雅黑" w:eastAsia="微软雅黑" w:cs="微软雅黑"/>
          <w:b w:val="0"/>
          <w:sz w:val="20"/>
        </w:rPr>
        <w:t>生效日期：2025年7月1日　归口岗位：经营分析</w:t>
      </w:r>
    </w:p>
    <w:p w14:paraId="720479C2">
      <w:pPr>
        <w:spacing w:after="140" w:line="300" w:lineRule="auto"/>
        <w:ind w:firstLine="312"/>
      </w:pPr>
      <w:r>
        <w:rPr>
          <w:rFonts w:ascii="微软雅黑" w:hAnsi="微软雅黑" w:eastAsia="微软雅黑" w:cs="微软雅黑"/>
          <w:b w:val="0"/>
          <w:sz w:val="20"/>
        </w:rPr>
        <w:t>适用工作：数字音乐业务周报、月度经营检查、季度复盘及临时专题分析</w:t>
      </w:r>
    </w:p>
    <w:p w14:paraId="59EECE41">
      <w:pPr>
        <w:pStyle w:val="3"/>
        <w:jc w:val="left"/>
      </w:pPr>
      <w:r>
        <w:rPr>
          <w:rFonts w:ascii="微软雅黑" w:hAnsi="微软雅黑" w:eastAsia="微软雅黑" w:cs="微软雅黑"/>
          <w:b/>
          <w:sz w:val="30"/>
        </w:rPr>
        <w:t>一 分析需求的接收和确认</w:t>
      </w:r>
    </w:p>
    <w:p w14:paraId="56124521">
      <w:pPr>
        <w:spacing w:after="140" w:line="300" w:lineRule="auto"/>
        <w:ind w:firstLine="312"/>
      </w:pPr>
      <w:r>
        <w:rPr>
          <w:rFonts w:ascii="微软雅黑" w:hAnsi="微软雅黑" w:eastAsia="微软雅黑" w:cs="微软雅黑"/>
          <w:b w:val="0"/>
          <w:sz w:val="20"/>
        </w:rPr>
        <w:t>接收需求后，先用一两句话复述要研究的问题，列明指标、时间、范围、比较基准和需要的输出。比如一份品类复盘可能需要季度销售额、上一季度比较、目标差额以及后续动作；这些是四项相关但不同的工作，不能只给出品类排名就结束。</w:t>
      </w:r>
    </w:p>
    <w:p w14:paraId="1C9EDFC2">
      <w:pPr>
        <w:spacing w:after="140" w:line="300" w:lineRule="auto"/>
        <w:ind w:firstLine="312"/>
      </w:pPr>
      <w:r>
        <w:rPr>
          <w:rFonts w:ascii="微软雅黑" w:hAnsi="微软雅黑" w:eastAsia="微软雅黑" w:cs="微软雅黑"/>
          <w:b w:val="0"/>
          <w:sz w:val="20"/>
        </w:rPr>
        <w:t>运营提出“最近下降了”时，先确认是金额下降、件数下降还是购买客户减少，再确认“最近”是完整月、季度还是截至某一天。若负责人只要求一段会议口头说明，可压缩图表数量，但查询条件仍应留档。需求在会议中变化时，把新要求补在任务记录中，避免报告发出后双方对比较周期有不同理解。</w:t>
      </w:r>
    </w:p>
    <w:p w14:paraId="238BBF54">
      <w:pPr>
        <w:spacing w:after="140" w:line="300" w:lineRule="auto"/>
        <w:ind w:firstLine="312"/>
      </w:pPr>
      <w:r>
        <w:rPr>
          <w:rFonts w:ascii="微软雅黑" w:hAnsi="微软雅黑" w:eastAsia="微软雅黑" w:cs="微软雅黑"/>
          <w:b w:val="0"/>
          <w:sz w:val="20"/>
        </w:rPr>
        <w:t>没有时间或比较基准的数值查询需要补齐条件。例如增长率需要明确本期和基期，目标比较需要明确目标年度。销售情况含义较宽时，先确认关注的指标。如果上文已经明确年度、音频范围和比较期，可继续沿用这些条件并在结果中复述；用户更改范围后，需要连同上一期、目标适用性一起检查。</w:t>
      </w:r>
    </w:p>
    <w:p w14:paraId="161BDC60">
      <w:pPr>
        <w:spacing w:after="140" w:line="300" w:lineRule="auto"/>
        <w:ind w:firstLine="312"/>
      </w:pPr>
      <w:r>
        <w:rPr>
          <w:rFonts w:ascii="微软雅黑" w:hAnsi="微软雅黑" w:eastAsia="微软雅黑" w:cs="微软雅黑"/>
          <w:b w:val="0"/>
          <w:sz w:val="20"/>
        </w:rPr>
        <w:t>音乐经营分析默认采用音频范围，无需每次额外询问是否含视频；在结果中写清这一默认。只有出现“全店”“所有媒体”“音乐加视频”等明确表达，或上下文范围冲突时，才扩大范围或追问。要避免把默认规则变成不必要的反复确认。</w:t>
      </w:r>
    </w:p>
    <w:p w14:paraId="517D5E1F">
      <w:pPr>
        <w:pStyle w:val="3"/>
        <w:jc w:val="left"/>
      </w:pPr>
      <w:r>
        <w:rPr>
          <w:rFonts w:ascii="微软雅黑" w:hAnsi="微软雅黑" w:eastAsia="微软雅黑" w:cs="微软雅黑"/>
          <w:b/>
          <w:sz w:val="30"/>
        </w:rPr>
        <w:t>二 指标粒度和汇总口径</w:t>
      </w:r>
    </w:p>
    <w:p w14:paraId="74CCEE6C">
      <w:pPr>
        <w:spacing w:after="140" w:line="300" w:lineRule="auto"/>
        <w:ind w:firstLine="312"/>
      </w:pPr>
      <w:r>
        <w:rPr>
          <w:rFonts w:ascii="微软雅黑" w:hAnsi="微软雅黑" w:eastAsia="微软雅黑" w:cs="微软雅黑"/>
          <w:b w:val="0"/>
          <w:sz w:val="20"/>
        </w:rPr>
        <w:t>销售额来自订单明细的成交单价乘数量，销量来自订单明细数量。以品类为单位分析时，先筛选品类和音频媒体类型，再对相应明细汇总。订单数和购买客户数分别在同一筛选结果上去重。同一张订单出现几个商品，不改变该范围内的订单去重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46A3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4FFACCBF">
            <w:pPr>
              <w:spacing w:after="0" w:line="240" w:lineRule="auto"/>
            </w:pPr>
            <w:r>
              <w:rPr>
                <w:rFonts w:ascii="微软雅黑" w:hAnsi="微软雅黑" w:eastAsia="微软雅黑" w:cs="微软雅黑"/>
                <w:b/>
                <w:sz w:val="17"/>
              </w:rPr>
              <w:t>指标</w:t>
            </w:r>
          </w:p>
        </w:tc>
        <w:tc>
          <w:tcPr>
            <w:tcW w:w="2464" w:type="dxa"/>
          </w:tcPr>
          <w:p w14:paraId="33037DD8">
            <w:pPr>
              <w:spacing w:after="0" w:line="240" w:lineRule="auto"/>
            </w:pPr>
            <w:r>
              <w:rPr>
                <w:rFonts w:ascii="微软雅黑" w:hAnsi="微软雅黑" w:eastAsia="微软雅黑" w:cs="微软雅黑"/>
                <w:b/>
                <w:sz w:val="17"/>
              </w:rPr>
              <w:t>计算口径</w:t>
            </w:r>
          </w:p>
        </w:tc>
        <w:tc>
          <w:tcPr>
            <w:tcW w:w="2464" w:type="dxa"/>
          </w:tcPr>
          <w:p w14:paraId="29E17669">
            <w:pPr>
              <w:spacing w:after="0" w:line="240" w:lineRule="auto"/>
            </w:pPr>
            <w:r>
              <w:rPr>
                <w:rFonts w:ascii="微软雅黑" w:hAnsi="微软雅黑" w:eastAsia="微软雅黑" w:cs="微软雅黑"/>
                <w:b/>
                <w:sz w:val="17"/>
              </w:rPr>
              <w:t>单位</w:t>
            </w:r>
          </w:p>
        </w:tc>
        <w:tc>
          <w:tcPr>
            <w:tcW w:w="2464" w:type="dxa"/>
          </w:tcPr>
          <w:p w14:paraId="1A208D7C">
            <w:pPr>
              <w:spacing w:after="0" w:line="240" w:lineRule="auto"/>
            </w:pPr>
            <w:r>
              <w:rPr>
                <w:rFonts w:ascii="微软雅黑" w:hAnsi="微软雅黑" w:eastAsia="微软雅黑" w:cs="微软雅黑"/>
                <w:b/>
                <w:sz w:val="17"/>
              </w:rPr>
              <w:t>应同时说明的条件</w:t>
            </w:r>
          </w:p>
        </w:tc>
      </w:tr>
      <w:tr w14:paraId="4801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22869C6F">
            <w:pPr>
              <w:spacing w:after="0" w:line="240" w:lineRule="auto"/>
            </w:pPr>
            <w:r>
              <w:rPr>
                <w:rFonts w:ascii="微软雅黑" w:hAnsi="微软雅黑" w:eastAsia="微软雅黑" w:cs="微软雅黑"/>
                <w:b w:val="0"/>
                <w:sz w:val="17"/>
              </w:rPr>
              <w:t>销售额</w:t>
            </w:r>
          </w:p>
        </w:tc>
        <w:tc>
          <w:tcPr>
            <w:tcW w:w="2464" w:type="dxa"/>
          </w:tcPr>
          <w:p w14:paraId="45ACAA46">
            <w:pPr>
              <w:spacing w:after="0" w:line="240" w:lineRule="auto"/>
            </w:pPr>
            <w:r>
              <w:rPr>
                <w:rFonts w:ascii="微软雅黑" w:hAnsi="微软雅黑" w:eastAsia="微软雅黑" w:cs="微软雅黑"/>
                <w:b w:val="0"/>
                <w:sz w:val="17"/>
              </w:rPr>
              <w:t>SUM(InvoiceLine.UnitPrice * InvoiceLine.Quantity)</w:t>
            </w:r>
          </w:p>
        </w:tc>
        <w:tc>
          <w:tcPr>
            <w:tcW w:w="2464" w:type="dxa"/>
          </w:tcPr>
          <w:p w14:paraId="252FDAB2">
            <w:pPr>
              <w:spacing w:after="0" w:line="240" w:lineRule="auto"/>
            </w:pPr>
            <w:r>
              <w:rPr>
                <w:rFonts w:ascii="微软雅黑" w:hAnsi="微软雅黑" w:eastAsia="微软雅黑" w:cs="微软雅黑"/>
                <w:b w:val="0"/>
                <w:sz w:val="17"/>
              </w:rPr>
              <w:t>美元</w:t>
            </w:r>
          </w:p>
        </w:tc>
        <w:tc>
          <w:tcPr>
            <w:tcW w:w="2464" w:type="dxa"/>
          </w:tcPr>
          <w:p w14:paraId="69221DAA">
            <w:pPr>
              <w:spacing w:after="0" w:line="240" w:lineRule="auto"/>
            </w:pPr>
            <w:r>
              <w:rPr>
                <w:rFonts w:ascii="微软雅黑" w:hAnsi="微软雅黑" w:eastAsia="微软雅黑" w:cs="微软雅黑"/>
                <w:b w:val="0"/>
                <w:sz w:val="17"/>
              </w:rPr>
              <w:t>订单日期、媒体类型和品类范围</w:t>
            </w:r>
          </w:p>
        </w:tc>
      </w:tr>
      <w:tr w14:paraId="2024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2439440A">
            <w:pPr>
              <w:spacing w:after="0" w:line="240" w:lineRule="auto"/>
            </w:pPr>
            <w:r>
              <w:rPr>
                <w:rFonts w:ascii="微软雅黑" w:hAnsi="微软雅黑" w:eastAsia="微软雅黑" w:cs="微软雅黑"/>
                <w:b w:val="0"/>
                <w:sz w:val="17"/>
              </w:rPr>
              <w:t>销量</w:t>
            </w:r>
          </w:p>
        </w:tc>
        <w:tc>
          <w:tcPr>
            <w:tcW w:w="2464" w:type="dxa"/>
          </w:tcPr>
          <w:p w14:paraId="73DED7F4">
            <w:pPr>
              <w:spacing w:after="0" w:line="240" w:lineRule="auto"/>
            </w:pPr>
            <w:r>
              <w:rPr>
                <w:rFonts w:ascii="微软雅黑" w:hAnsi="微软雅黑" w:eastAsia="微软雅黑" w:cs="微软雅黑"/>
                <w:b w:val="0"/>
                <w:sz w:val="17"/>
              </w:rPr>
              <w:t>SUM(InvoiceLine.Quantity)</w:t>
            </w:r>
          </w:p>
        </w:tc>
        <w:tc>
          <w:tcPr>
            <w:tcW w:w="2464" w:type="dxa"/>
          </w:tcPr>
          <w:p w14:paraId="004EB5DC">
            <w:pPr>
              <w:spacing w:after="0" w:line="240" w:lineRule="auto"/>
            </w:pPr>
            <w:r>
              <w:rPr>
                <w:rFonts w:ascii="微软雅黑" w:hAnsi="微软雅黑" w:eastAsia="微软雅黑" w:cs="微软雅黑"/>
                <w:b w:val="0"/>
                <w:sz w:val="17"/>
              </w:rPr>
              <w:t>件</w:t>
            </w:r>
          </w:p>
        </w:tc>
        <w:tc>
          <w:tcPr>
            <w:tcW w:w="2464" w:type="dxa"/>
          </w:tcPr>
          <w:p w14:paraId="3D66C7D4">
            <w:pPr>
              <w:spacing w:after="0" w:line="240" w:lineRule="auto"/>
            </w:pPr>
            <w:r>
              <w:rPr>
                <w:rFonts w:ascii="微软雅黑" w:hAnsi="微软雅黑" w:eastAsia="微软雅黑" w:cs="微软雅黑"/>
                <w:b w:val="0"/>
                <w:sz w:val="17"/>
              </w:rPr>
              <w:t>明细数量，不是订单张数</w:t>
            </w:r>
          </w:p>
        </w:tc>
      </w:tr>
      <w:tr w14:paraId="7566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004CF403">
            <w:pPr>
              <w:spacing w:after="0" w:line="240" w:lineRule="auto"/>
            </w:pPr>
            <w:r>
              <w:rPr>
                <w:rFonts w:ascii="微软雅黑" w:hAnsi="微软雅黑" w:eastAsia="微软雅黑" w:cs="微软雅黑"/>
                <w:b w:val="0"/>
                <w:sz w:val="17"/>
              </w:rPr>
              <w:t>订单数</w:t>
            </w:r>
          </w:p>
        </w:tc>
        <w:tc>
          <w:tcPr>
            <w:tcW w:w="2464" w:type="dxa"/>
          </w:tcPr>
          <w:p w14:paraId="435F384E">
            <w:pPr>
              <w:spacing w:after="0" w:line="240" w:lineRule="auto"/>
            </w:pPr>
            <w:r>
              <w:rPr>
                <w:rFonts w:ascii="微软雅黑" w:hAnsi="微软雅黑" w:eastAsia="微软雅黑" w:cs="微软雅黑"/>
                <w:b w:val="0"/>
                <w:sz w:val="17"/>
              </w:rPr>
              <w:t>COUNT(DISTINCT Invoice.InvoiceId)</w:t>
            </w:r>
          </w:p>
        </w:tc>
        <w:tc>
          <w:tcPr>
            <w:tcW w:w="2464" w:type="dxa"/>
          </w:tcPr>
          <w:p w14:paraId="15757DFD">
            <w:pPr>
              <w:spacing w:after="0" w:line="240" w:lineRule="auto"/>
            </w:pPr>
            <w:r>
              <w:rPr>
                <w:rFonts w:ascii="微软雅黑" w:hAnsi="微软雅黑" w:eastAsia="微软雅黑" w:cs="微软雅黑"/>
                <w:b w:val="0"/>
                <w:sz w:val="17"/>
              </w:rPr>
              <w:t>张</w:t>
            </w:r>
          </w:p>
        </w:tc>
        <w:tc>
          <w:tcPr>
            <w:tcW w:w="2464" w:type="dxa"/>
          </w:tcPr>
          <w:p w14:paraId="69AD71AE">
            <w:pPr>
              <w:spacing w:after="0" w:line="240" w:lineRule="auto"/>
            </w:pPr>
            <w:r>
              <w:rPr>
                <w:rFonts w:ascii="微软雅黑" w:hAnsi="微软雅黑" w:eastAsia="微软雅黑" w:cs="微软雅黑"/>
                <w:b w:val="0"/>
                <w:sz w:val="17"/>
              </w:rPr>
              <w:t>筛选范围内去重</w:t>
            </w:r>
          </w:p>
        </w:tc>
      </w:tr>
      <w:tr w14:paraId="4010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1CECF7B6">
            <w:pPr>
              <w:spacing w:after="0" w:line="240" w:lineRule="auto"/>
            </w:pPr>
            <w:r>
              <w:rPr>
                <w:rFonts w:ascii="微软雅黑" w:hAnsi="微软雅黑" w:eastAsia="微软雅黑" w:cs="微软雅黑"/>
                <w:b w:val="0"/>
                <w:sz w:val="17"/>
              </w:rPr>
              <w:t>购买客户数</w:t>
            </w:r>
          </w:p>
        </w:tc>
        <w:tc>
          <w:tcPr>
            <w:tcW w:w="2464" w:type="dxa"/>
          </w:tcPr>
          <w:p w14:paraId="52C35A21">
            <w:pPr>
              <w:spacing w:after="0" w:line="240" w:lineRule="auto"/>
            </w:pPr>
            <w:r>
              <w:rPr>
                <w:rFonts w:ascii="微软雅黑" w:hAnsi="微软雅黑" w:eastAsia="微软雅黑" w:cs="微软雅黑"/>
                <w:b w:val="0"/>
                <w:sz w:val="17"/>
              </w:rPr>
              <w:t>COUNT(DISTINCT Invoice.CustomerId)</w:t>
            </w:r>
          </w:p>
        </w:tc>
        <w:tc>
          <w:tcPr>
            <w:tcW w:w="2464" w:type="dxa"/>
          </w:tcPr>
          <w:p w14:paraId="67A8BF25">
            <w:pPr>
              <w:spacing w:after="0" w:line="240" w:lineRule="auto"/>
            </w:pPr>
            <w:r>
              <w:rPr>
                <w:rFonts w:ascii="微软雅黑" w:hAnsi="微软雅黑" w:eastAsia="微软雅黑" w:cs="微软雅黑"/>
                <w:b w:val="0"/>
                <w:sz w:val="17"/>
              </w:rPr>
              <w:t>人</w:t>
            </w:r>
          </w:p>
        </w:tc>
        <w:tc>
          <w:tcPr>
            <w:tcW w:w="2464" w:type="dxa"/>
          </w:tcPr>
          <w:p w14:paraId="4EAE2535">
            <w:pPr>
              <w:spacing w:after="0" w:line="240" w:lineRule="auto"/>
            </w:pPr>
            <w:r>
              <w:rPr>
                <w:rFonts w:ascii="微软雅黑" w:hAnsi="微软雅黑" w:eastAsia="微软雅黑" w:cs="微软雅黑"/>
                <w:b w:val="0"/>
                <w:sz w:val="17"/>
              </w:rPr>
              <w:t>筛选范围内去重</w:t>
            </w:r>
          </w:p>
        </w:tc>
      </w:tr>
      <w:tr w14:paraId="228A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61FEF6AF">
            <w:pPr>
              <w:spacing w:after="0" w:line="240" w:lineRule="auto"/>
            </w:pPr>
            <w:r>
              <w:rPr>
                <w:rFonts w:ascii="微软雅黑" w:hAnsi="微软雅黑" w:eastAsia="微软雅黑" w:cs="微软雅黑"/>
                <w:b w:val="0"/>
                <w:sz w:val="17"/>
              </w:rPr>
              <w:t>客单价</w:t>
            </w:r>
          </w:p>
        </w:tc>
        <w:tc>
          <w:tcPr>
            <w:tcW w:w="2464" w:type="dxa"/>
          </w:tcPr>
          <w:p w14:paraId="36D185E6">
            <w:pPr>
              <w:spacing w:after="0" w:line="240" w:lineRule="auto"/>
            </w:pPr>
            <w:r>
              <w:rPr>
                <w:rFonts w:ascii="微软雅黑" w:hAnsi="微软雅黑" w:eastAsia="微软雅黑" w:cs="微软雅黑"/>
                <w:b w:val="0"/>
                <w:sz w:val="17"/>
              </w:rPr>
              <w:t>同范围销售额 ÷ 同范围订单数</w:t>
            </w:r>
          </w:p>
        </w:tc>
        <w:tc>
          <w:tcPr>
            <w:tcW w:w="2464" w:type="dxa"/>
          </w:tcPr>
          <w:p w14:paraId="4BB6A2B2">
            <w:pPr>
              <w:spacing w:after="0" w:line="240" w:lineRule="auto"/>
            </w:pPr>
            <w:r>
              <w:rPr>
                <w:rFonts w:ascii="微软雅黑" w:hAnsi="微软雅黑" w:eastAsia="微软雅黑" w:cs="微软雅黑"/>
                <w:b w:val="0"/>
                <w:sz w:val="17"/>
              </w:rPr>
              <w:t>美元每单</w:t>
            </w:r>
          </w:p>
        </w:tc>
        <w:tc>
          <w:tcPr>
            <w:tcW w:w="2464" w:type="dxa"/>
          </w:tcPr>
          <w:p w14:paraId="53362C7F">
            <w:pPr>
              <w:spacing w:after="0" w:line="240" w:lineRule="auto"/>
            </w:pPr>
            <w:r>
              <w:rPr>
                <w:rFonts w:ascii="微软雅黑" w:hAnsi="微软雅黑" w:eastAsia="微软雅黑" w:cs="微软雅黑"/>
                <w:b w:val="0"/>
                <w:sz w:val="17"/>
              </w:rPr>
              <w:t>无订单时记为不可计算</w:t>
            </w:r>
          </w:p>
        </w:tc>
      </w:tr>
      <w:tr w14:paraId="616D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2E967C47">
            <w:pPr>
              <w:spacing w:after="0" w:line="240" w:lineRule="auto"/>
            </w:pPr>
            <w:r>
              <w:rPr>
                <w:rFonts w:ascii="微软雅黑" w:hAnsi="微软雅黑" w:eastAsia="微软雅黑" w:cs="微软雅黑"/>
                <w:b w:val="0"/>
                <w:sz w:val="17"/>
              </w:rPr>
              <w:t>成交均价</w:t>
            </w:r>
          </w:p>
        </w:tc>
        <w:tc>
          <w:tcPr>
            <w:tcW w:w="2464" w:type="dxa"/>
          </w:tcPr>
          <w:p w14:paraId="59AB1619">
            <w:pPr>
              <w:spacing w:after="0" w:line="240" w:lineRule="auto"/>
            </w:pPr>
            <w:r>
              <w:rPr>
                <w:rFonts w:ascii="微软雅黑" w:hAnsi="微软雅黑" w:eastAsia="微软雅黑" w:cs="微软雅黑"/>
                <w:b w:val="0"/>
                <w:sz w:val="17"/>
              </w:rPr>
              <w:t>同范围销售额 ÷ 同范围销量</w:t>
            </w:r>
          </w:p>
        </w:tc>
        <w:tc>
          <w:tcPr>
            <w:tcW w:w="2464" w:type="dxa"/>
          </w:tcPr>
          <w:p w14:paraId="0AF277A6">
            <w:pPr>
              <w:spacing w:after="0" w:line="240" w:lineRule="auto"/>
            </w:pPr>
            <w:r>
              <w:rPr>
                <w:rFonts w:ascii="微软雅黑" w:hAnsi="微软雅黑" w:eastAsia="微软雅黑" w:cs="微软雅黑"/>
                <w:b w:val="0"/>
                <w:sz w:val="17"/>
              </w:rPr>
              <w:t>美元每件</w:t>
            </w:r>
          </w:p>
        </w:tc>
        <w:tc>
          <w:tcPr>
            <w:tcW w:w="2464" w:type="dxa"/>
          </w:tcPr>
          <w:p w14:paraId="08A256B6">
            <w:pPr>
              <w:spacing w:after="0" w:line="240" w:lineRule="auto"/>
            </w:pPr>
            <w:r>
              <w:rPr>
                <w:rFonts w:ascii="微软雅黑" w:hAnsi="微软雅黑" w:eastAsia="微软雅黑" w:cs="微软雅黑"/>
                <w:b w:val="0"/>
                <w:sz w:val="17"/>
              </w:rPr>
              <w:t>与客单价区分，不平均商品标价</w:t>
            </w:r>
          </w:p>
        </w:tc>
      </w:tr>
    </w:tbl>
    <w:p w14:paraId="341D5230"/>
    <w:p w14:paraId="2BFDB5C8">
      <w:pPr>
        <w:spacing w:after="140" w:line="300" w:lineRule="auto"/>
        <w:ind w:firstLine="312"/>
      </w:pPr>
      <w:r>
        <w:rPr>
          <w:rFonts w:ascii="微软雅黑" w:hAnsi="微软雅黑" w:eastAsia="微软雅黑" w:cs="微软雅黑"/>
          <w:b w:val="0"/>
          <w:sz w:val="20"/>
        </w:rPr>
        <w:t>成交均价在本说明中用于分析价格和结构，不替代商品目录价格。商品目录中的 Track.UnitPrice 用于观察当前标价，历史成交分析使用 InvoiceLine.UnitPrice。目录价格和成交价格不同的，先核对再解释，不用当前目录价格重算历史销售额。</w:t>
      </w:r>
    </w:p>
    <w:p w14:paraId="623F7D3D">
      <w:pPr>
        <w:spacing w:after="140" w:line="300" w:lineRule="auto"/>
        <w:ind w:firstLine="312"/>
      </w:pPr>
      <w:r>
        <w:rPr>
          <w:rFonts w:ascii="微软雅黑" w:hAnsi="微软雅黑" w:eastAsia="微软雅黑" w:cs="微软雅黑"/>
          <w:b w:val="0"/>
          <w:sz w:val="20"/>
        </w:rPr>
        <w:t>品类客单价只使用该品类在相应订单中的明细金额，除以包含该品类音频商品的订单数。它不是这些客户整张订单的平均总额。报表里若同时列全音频客单价和 Rock 客单价，两个分母各自去重，不能强行使用同一订单数。</w:t>
      </w:r>
    </w:p>
    <w:p w14:paraId="189852A1">
      <w:pPr>
        <w:pStyle w:val="3"/>
        <w:jc w:val="left"/>
      </w:pPr>
      <w:r>
        <w:rPr>
          <w:rFonts w:ascii="微软雅黑" w:hAnsi="微软雅黑" w:eastAsia="微软雅黑" w:cs="微软雅黑"/>
          <w:b/>
          <w:sz w:val="30"/>
        </w:rPr>
        <w:t>三 时间区间与比较周期</w:t>
      </w:r>
    </w:p>
    <w:p w14:paraId="585F585F">
      <w:pPr>
        <w:spacing w:after="140" w:line="300" w:lineRule="auto"/>
        <w:ind w:firstLine="312"/>
      </w:pPr>
      <w:r>
        <w:rPr>
          <w:rFonts w:ascii="微软雅黑" w:hAnsi="微软雅黑" w:eastAsia="微软雅黑" w:cs="微软雅黑"/>
          <w:b w:val="0"/>
          <w:sz w:val="20"/>
        </w:rPr>
        <w:t>订单时间使用 Invoice.InvoiceDate，区间采用左闭右开。本文件涉及的2025年第二季度为2025-04-01至2025-07-01，第三季度为2025-07-01至2025-10-01；7月为2025-07-01至2025-08-01。10月1日的订单属于第四季度，不能因为材料在10月制作就计入第三季度。</w:t>
      </w:r>
    </w:p>
    <w:p w14:paraId="58F0A255">
      <w:pPr>
        <w:spacing w:after="140" w:line="300" w:lineRule="auto"/>
        <w:ind w:firstLine="312"/>
      </w:pPr>
      <w:r>
        <w:rPr>
          <w:rFonts w:ascii="微软雅黑" w:hAnsi="微软雅黑" w:eastAsia="微软雅黑" w:cs="微软雅黑"/>
          <w:b w:val="0"/>
          <w:sz w:val="20"/>
        </w:rPr>
        <w:t>环比比较相邻完整周期，如5月比4月、第三季度比第二季度。同比比较上一年同一月份或季度，如2025年第三季度比2024年第三季度。两期的媒体类型、品类归属和地区字段必须相同，使用订单明细销售额的方法也应相同。仅把日期向前移动而忘记其他筛选条件，得到的比例没有可比性。</w:t>
      </w:r>
    </w:p>
    <w:p w14:paraId="7CF83506">
      <w:pPr>
        <w:spacing w:after="140" w:line="300" w:lineRule="auto"/>
        <w:ind w:firstLine="312"/>
      </w:pPr>
      <w:r>
        <w:rPr>
          <w:rFonts w:ascii="微软雅黑" w:hAnsi="微软雅黑" w:eastAsia="微软雅黑" w:cs="微软雅黑"/>
          <w:b w:val="0"/>
          <w:sz w:val="20"/>
        </w:rPr>
        <w:t>月中数据可与上月相同已过日期范围做进度观察，但不要把本月半个月实际值与上月整月实际值称为完整月环比。完整周期内没有订单可以是零成交，不能只依据首末订单日期认定周期缺失；应核对数据版本和已知覆盖范围。要求未被当前快照覆盖的年份时，先说明数据覆盖问题。</w:t>
      </w:r>
    </w:p>
    <w:p w14:paraId="12EA419D">
      <w:pPr>
        <w:spacing w:after="140" w:line="300" w:lineRule="auto"/>
        <w:ind w:firstLine="312"/>
      </w:pPr>
      <w:r>
        <w:rPr>
          <w:rFonts w:ascii="微软雅黑" w:hAnsi="微软雅黑" w:eastAsia="微软雅黑" w:cs="微软雅黑"/>
          <w:b w:val="0"/>
          <w:sz w:val="20"/>
        </w:rPr>
        <w:t>趋势图保持连续的自然月份。某月查询成功且确实无成交时补零，不把该月从图上删掉；无法判断覆盖范围或查询失败时保留缺失状态。每张图的日期说明应区分自然周期和实际可观察范围，尤其在跨年、跨季度或截至某一天的分析中。</w:t>
      </w:r>
    </w:p>
    <w:p w14:paraId="47581B1C">
      <w:pPr>
        <w:pStyle w:val="3"/>
        <w:jc w:val="left"/>
      </w:pPr>
      <w:r>
        <w:rPr>
          <w:rFonts w:ascii="微软雅黑" w:hAnsi="微软雅黑" w:eastAsia="微软雅黑" w:cs="微软雅黑"/>
          <w:b/>
          <w:sz w:val="30"/>
        </w:rPr>
        <w:t>四 基础汇总和历史参照</w:t>
      </w:r>
    </w:p>
    <w:p w14:paraId="62C450F0">
      <w:pPr>
        <w:spacing w:after="140" w:line="300" w:lineRule="auto"/>
        <w:ind w:firstLine="312"/>
      </w:pPr>
      <w:r>
        <w:rPr>
          <w:rFonts w:ascii="微软雅黑" w:hAnsi="微软雅黑" w:eastAsia="微软雅黑" w:cs="微软雅黑"/>
          <w:b w:val="0"/>
          <w:sz w:val="20"/>
        </w:rPr>
        <w:t>季度分析先生成全音频总表，再拆分重点品类，最后下钻到商品和客户。基础汇总包括销售额、销量、订单数和购买客户数；有适用目标的，再补目标、差额和达成率。排名和增长率放在这张基础表之后，避免读者只看到“第一名”而不知道金额规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1972"/>
        <w:gridCol w:w="1972"/>
        <w:gridCol w:w="1972"/>
        <w:gridCol w:w="1972"/>
      </w:tblGrid>
      <w:tr w14:paraId="6077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Pr>
          <w:p w14:paraId="62BC8C35">
            <w:pPr>
              <w:spacing w:after="0" w:line="240" w:lineRule="auto"/>
            </w:pPr>
            <w:r>
              <w:rPr>
                <w:rFonts w:ascii="微软雅黑" w:hAnsi="微软雅黑" w:eastAsia="微软雅黑" w:cs="微软雅黑"/>
                <w:b/>
                <w:sz w:val="17"/>
              </w:rPr>
              <w:t>2025年第二季度范围</w:t>
            </w:r>
          </w:p>
        </w:tc>
        <w:tc>
          <w:tcPr>
            <w:tcW w:w="1972" w:type="dxa"/>
          </w:tcPr>
          <w:p w14:paraId="09C4CD12">
            <w:pPr>
              <w:spacing w:after="0" w:line="240" w:lineRule="auto"/>
            </w:pPr>
            <w:r>
              <w:rPr>
                <w:rFonts w:ascii="微软雅黑" w:hAnsi="微软雅黑" w:eastAsia="微软雅黑" w:cs="微软雅黑"/>
                <w:b/>
                <w:sz w:val="17"/>
              </w:rPr>
              <w:t>销售额 美元</w:t>
            </w:r>
          </w:p>
        </w:tc>
        <w:tc>
          <w:tcPr>
            <w:tcW w:w="1972" w:type="dxa"/>
          </w:tcPr>
          <w:p w14:paraId="5A50BD47">
            <w:pPr>
              <w:spacing w:after="0" w:line="240" w:lineRule="auto"/>
            </w:pPr>
            <w:r>
              <w:rPr>
                <w:rFonts w:ascii="微软雅黑" w:hAnsi="微软雅黑" w:eastAsia="微软雅黑" w:cs="微软雅黑"/>
                <w:b/>
                <w:sz w:val="17"/>
              </w:rPr>
              <w:t>销量 件</w:t>
            </w:r>
          </w:p>
        </w:tc>
        <w:tc>
          <w:tcPr>
            <w:tcW w:w="1972" w:type="dxa"/>
          </w:tcPr>
          <w:p w14:paraId="636B4BB0">
            <w:pPr>
              <w:spacing w:after="0" w:line="240" w:lineRule="auto"/>
            </w:pPr>
            <w:r>
              <w:rPr>
                <w:rFonts w:ascii="微软雅黑" w:hAnsi="微软雅黑" w:eastAsia="微软雅黑" w:cs="微软雅黑"/>
                <w:b/>
                <w:sz w:val="17"/>
              </w:rPr>
              <w:t>订单数 张</w:t>
            </w:r>
          </w:p>
        </w:tc>
        <w:tc>
          <w:tcPr>
            <w:tcW w:w="1972" w:type="dxa"/>
          </w:tcPr>
          <w:p w14:paraId="700D7E44">
            <w:pPr>
              <w:spacing w:after="0" w:line="240" w:lineRule="auto"/>
            </w:pPr>
            <w:r>
              <w:rPr>
                <w:rFonts w:ascii="微软雅黑" w:hAnsi="微软雅黑" w:eastAsia="微软雅黑" w:cs="微软雅黑"/>
                <w:b/>
                <w:sz w:val="17"/>
              </w:rPr>
              <w:t>购买客户数 人</w:t>
            </w:r>
          </w:p>
        </w:tc>
      </w:tr>
      <w:tr w14:paraId="10AD5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Pr>
          <w:p w14:paraId="7901FC68">
            <w:pPr>
              <w:spacing w:after="0" w:line="240" w:lineRule="auto"/>
            </w:pPr>
            <w:r>
              <w:rPr>
                <w:rFonts w:ascii="微软雅黑" w:hAnsi="微软雅黑" w:eastAsia="微软雅黑" w:cs="微软雅黑"/>
                <w:b w:val="0"/>
                <w:sz w:val="17"/>
              </w:rPr>
              <w:t>全部音频</w:t>
            </w:r>
          </w:p>
        </w:tc>
        <w:tc>
          <w:tcPr>
            <w:tcW w:w="1972" w:type="dxa"/>
          </w:tcPr>
          <w:p w14:paraId="776FF9B1">
            <w:pPr>
              <w:spacing w:after="0" w:line="240" w:lineRule="auto"/>
            </w:pPr>
            <w:r>
              <w:rPr>
                <w:rFonts w:ascii="微软雅黑" w:hAnsi="微软雅黑" w:eastAsia="微软雅黑" w:cs="微软雅黑"/>
                <w:b w:val="0"/>
                <w:sz w:val="17"/>
              </w:rPr>
              <w:t>108.90</w:t>
            </w:r>
          </w:p>
        </w:tc>
        <w:tc>
          <w:tcPr>
            <w:tcW w:w="1972" w:type="dxa"/>
          </w:tcPr>
          <w:p w14:paraId="26E311DF">
            <w:pPr>
              <w:spacing w:after="0" w:line="240" w:lineRule="auto"/>
            </w:pPr>
            <w:r>
              <w:rPr>
                <w:rFonts w:ascii="微软雅黑" w:hAnsi="微软雅黑" w:eastAsia="微软雅黑" w:cs="微软雅黑"/>
                <w:b w:val="0"/>
                <w:sz w:val="17"/>
              </w:rPr>
              <w:t>110</w:t>
            </w:r>
          </w:p>
        </w:tc>
        <w:tc>
          <w:tcPr>
            <w:tcW w:w="1972" w:type="dxa"/>
          </w:tcPr>
          <w:p w14:paraId="632989B6">
            <w:pPr>
              <w:spacing w:after="0" w:line="240" w:lineRule="auto"/>
            </w:pPr>
            <w:r>
              <w:rPr>
                <w:rFonts w:ascii="微软雅黑" w:hAnsi="微软雅黑" w:eastAsia="微软雅黑" w:cs="微软雅黑"/>
                <w:b w:val="0"/>
                <w:sz w:val="17"/>
              </w:rPr>
              <w:t>19</w:t>
            </w:r>
          </w:p>
        </w:tc>
        <w:tc>
          <w:tcPr>
            <w:tcW w:w="1972" w:type="dxa"/>
          </w:tcPr>
          <w:p w14:paraId="74BFA752">
            <w:pPr>
              <w:spacing w:after="0" w:line="240" w:lineRule="auto"/>
            </w:pPr>
            <w:r>
              <w:rPr>
                <w:rFonts w:ascii="微软雅黑" w:hAnsi="微软雅黑" w:eastAsia="微软雅黑" w:cs="微软雅黑"/>
                <w:b w:val="0"/>
                <w:sz w:val="17"/>
              </w:rPr>
              <w:t>18</w:t>
            </w:r>
          </w:p>
        </w:tc>
      </w:tr>
      <w:tr w14:paraId="37CD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Pr>
          <w:p w14:paraId="6CC97D7F">
            <w:pPr>
              <w:spacing w:after="0" w:line="240" w:lineRule="auto"/>
            </w:pPr>
            <w:r>
              <w:rPr>
                <w:rFonts w:ascii="微软雅黑" w:hAnsi="微软雅黑" w:eastAsia="微软雅黑" w:cs="微软雅黑"/>
                <w:b w:val="0"/>
                <w:sz w:val="17"/>
              </w:rPr>
              <w:t>Rock</w:t>
            </w:r>
          </w:p>
        </w:tc>
        <w:tc>
          <w:tcPr>
            <w:tcW w:w="1972" w:type="dxa"/>
          </w:tcPr>
          <w:p w14:paraId="425608D9">
            <w:pPr>
              <w:spacing w:after="0" w:line="240" w:lineRule="auto"/>
            </w:pPr>
            <w:r>
              <w:rPr>
                <w:rFonts w:ascii="微软雅黑" w:hAnsi="微软雅黑" w:eastAsia="微软雅黑" w:cs="微软雅黑"/>
                <w:b w:val="0"/>
                <w:sz w:val="17"/>
              </w:rPr>
              <w:t>42.57</w:t>
            </w:r>
          </w:p>
        </w:tc>
        <w:tc>
          <w:tcPr>
            <w:tcW w:w="1972" w:type="dxa"/>
          </w:tcPr>
          <w:p w14:paraId="6E49B584">
            <w:pPr>
              <w:spacing w:after="0" w:line="240" w:lineRule="auto"/>
            </w:pPr>
            <w:r>
              <w:rPr>
                <w:rFonts w:ascii="微软雅黑" w:hAnsi="微软雅黑" w:eastAsia="微软雅黑" w:cs="微软雅黑"/>
                <w:b w:val="0"/>
                <w:sz w:val="17"/>
              </w:rPr>
              <w:t>43</w:t>
            </w:r>
          </w:p>
        </w:tc>
        <w:tc>
          <w:tcPr>
            <w:tcW w:w="1972" w:type="dxa"/>
          </w:tcPr>
          <w:p w14:paraId="17501C7A">
            <w:pPr>
              <w:spacing w:after="0" w:line="240" w:lineRule="auto"/>
            </w:pPr>
            <w:r>
              <w:rPr>
                <w:rFonts w:ascii="微软雅黑" w:hAnsi="微软雅黑" w:eastAsia="微软雅黑" w:cs="微软雅黑"/>
                <w:b w:val="0"/>
                <w:sz w:val="17"/>
              </w:rPr>
              <w:t>10</w:t>
            </w:r>
          </w:p>
        </w:tc>
        <w:tc>
          <w:tcPr>
            <w:tcW w:w="1972" w:type="dxa"/>
          </w:tcPr>
          <w:p w14:paraId="3BB3DCE1">
            <w:pPr>
              <w:spacing w:after="0" w:line="240" w:lineRule="auto"/>
            </w:pPr>
            <w:r>
              <w:rPr>
                <w:rFonts w:ascii="微软雅黑" w:hAnsi="微软雅黑" w:eastAsia="微软雅黑" w:cs="微软雅黑"/>
                <w:b w:val="0"/>
                <w:sz w:val="17"/>
              </w:rPr>
              <w:t>10</w:t>
            </w:r>
          </w:p>
        </w:tc>
      </w:tr>
      <w:tr w14:paraId="016E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Pr>
          <w:p w14:paraId="6CE59A12">
            <w:pPr>
              <w:spacing w:after="0" w:line="240" w:lineRule="auto"/>
            </w:pPr>
            <w:r>
              <w:rPr>
                <w:rFonts w:ascii="微软雅黑" w:hAnsi="微软雅黑" w:eastAsia="微软雅黑" w:cs="微软雅黑"/>
                <w:b w:val="0"/>
                <w:sz w:val="17"/>
              </w:rPr>
              <w:t>Metal</w:t>
            </w:r>
          </w:p>
        </w:tc>
        <w:tc>
          <w:tcPr>
            <w:tcW w:w="1972" w:type="dxa"/>
          </w:tcPr>
          <w:p w14:paraId="57C61951">
            <w:pPr>
              <w:spacing w:after="0" w:line="240" w:lineRule="auto"/>
            </w:pPr>
            <w:r>
              <w:rPr>
                <w:rFonts w:ascii="微软雅黑" w:hAnsi="微软雅黑" w:eastAsia="微软雅黑" w:cs="微软雅黑"/>
                <w:b w:val="0"/>
                <w:sz w:val="17"/>
              </w:rPr>
              <w:t>29.70</w:t>
            </w:r>
          </w:p>
        </w:tc>
        <w:tc>
          <w:tcPr>
            <w:tcW w:w="1972" w:type="dxa"/>
          </w:tcPr>
          <w:p w14:paraId="44E68FBC">
            <w:pPr>
              <w:spacing w:after="0" w:line="240" w:lineRule="auto"/>
            </w:pPr>
            <w:r>
              <w:rPr>
                <w:rFonts w:ascii="微软雅黑" w:hAnsi="微软雅黑" w:eastAsia="微软雅黑" w:cs="微软雅黑"/>
                <w:b w:val="0"/>
                <w:sz w:val="17"/>
              </w:rPr>
              <w:t>30</w:t>
            </w:r>
          </w:p>
        </w:tc>
        <w:tc>
          <w:tcPr>
            <w:tcW w:w="1972" w:type="dxa"/>
          </w:tcPr>
          <w:p w14:paraId="5F13B12E">
            <w:pPr>
              <w:spacing w:after="0" w:line="240" w:lineRule="auto"/>
            </w:pPr>
            <w:r>
              <w:rPr>
                <w:rFonts w:ascii="微软雅黑" w:hAnsi="微软雅黑" w:eastAsia="微软雅黑" w:cs="微软雅黑"/>
                <w:b w:val="0"/>
                <w:sz w:val="17"/>
              </w:rPr>
              <w:t>11</w:t>
            </w:r>
          </w:p>
        </w:tc>
        <w:tc>
          <w:tcPr>
            <w:tcW w:w="1972" w:type="dxa"/>
          </w:tcPr>
          <w:p w14:paraId="18A027A3">
            <w:pPr>
              <w:spacing w:after="0" w:line="240" w:lineRule="auto"/>
            </w:pPr>
            <w:r>
              <w:rPr>
                <w:rFonts w:ascii="微软雅黑" w:hAnsi="微软雅黑" w:eastAsia="微软雅黑" w:cs="微软雅黑"/>
                <w:b w:val="0"/>
                <w:sz w:val="17"/>
              </w:rPr>
              <w:t>11</w:t>
            </w:r>
          </w:p>
        </w:tc>
      </w:tr>
      <w:tr w14:paraId="3206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Pr>
          <w:p w14:paraId="05B8EC34">
            <w:pPr>
              <w:spacing w:after="0" w:line="240" w:lineRule="auto"/>
            </w:pPr>
            <w:r>
              <w:rPr>
                <w:rFonts w:ascii="微软雅黑" w:hAnsi="微软雅黑" w:eastAsia="微软雅黑" w:cs="微软雅黑"/>
                <w:b w:val="0"/>
                <w:sz w:val="17"/>
              </w:rPr>
              <w:t>Latin</w:t>
            </w:r>
          </w:p>
        </w:tc>
        <w:tc>
          <w:tcPr>
            <w:tcW w:w="1972" w:type="dxa"/>
          </w:tcPr>
          <w:p w14:paraId="6F7D45F8">
            <w:pPr>
              <w:spacing w:after="0" w:line="240" w:lineRule="auto"/>
            </w:pPr>
            <w:r>
              <w:rPr>
                <w:rFonts w:ascii="微软雅黑" w:hAnsi="微软雅黑" w:eastAsia="微软雅黑" w:cs="微软雅黑"/>
                <w:b w:val="0"/>
                <w:sz w:val="17"/>
              </w:rPr>
              <w:t>19.80</w:t>
            </w:r>
          </w:p>
        </w:tc>
        <w:tc>
          <w:tcPr>
            <w:tcW w:w="1972" w:type="dxa"/>
          </w:tcPr>
          <w:p w14:paraId="109E0725">
            <w:pPr>
              <w:spacing w:after="0" w:line="240" w:lineRule="auto"/>
            </w:pPr>
            <w:r>
              <w:rPr>
                <w:rFonts w:ascii="微软雅黑" w:hAnsi="微软雅黑" w:eastAsia="微软雅黑" w:cs="微软雅黑"/>
                <w:b w:val="0"/>
                <w:sz w:val="17"/>
              </w:rPr>
              <w:t>20</w:t>
            </w:r>
          </w:p>
        </w:tc>
        <w:tc>
          <w:tcPr>
            <w:tcW w:w="1972" w:type="dxa"/>
          </w:tcPr>
          <w:p w14:paraId="288E796D">
            <w:pPr>
              <w:spacing w:after="0" w:line="240" w:lineRule="auto"/>
            </w:pPr>
            <w:r>
              <w:rPr>
                <w:rFonts w:ascii="微软雅黑" w:hAnsi="微软雅黑" w:eastAsia="微软雅黑" w:cs="微软雅黑"/>
                <w:b w:val="0"/>
                <w:sz w:val="17"/>
              </w:rPr>
              <w:t>4</w:t>
            </w:r>
          </w:p>
        </w:tc>
        <w:tc>
          <w:tcPr>
            <w:tcW w:w="1972" w:type="dxa"/>
          </w:tcPr>
          <w:p w14:paraId="7541FB17">
            <w:pPr>
              <w:spacing w:after="0" w:line="240" w:lineRule="auto"/>
            </w:pPr>
            <w:r>
              <w:rPr>
                <w:rFonts w:ascii="微软雅黑" w:hAnsi="微软雅黑" w:eastAsia="微软雅黑" w:cs="微软雅黑"/>
                <w:b w:val="0"/>
                <w:sz w:val="17"/>
              </w:rPr>
              <w:t>4</w:t>
            </w:r>
          </w:p>
        </w:tc>
      </w:tr>
    </w:tbl>
    <w:p w14:paraId="7EBAC9C8"/>
    <w:p w14:paraId="68078E71">
      <w:pPr>
        <w:spacing w:after="140" w:line="300" w:lineRule="auto"/>
        <w:ind w:firstLine="312"/>
      </w:pPr>
      <w:r>
        <w:rPr>
          <w:rFonts w:ascii="微软雅黑" w:hAnsi="微软雅黑" w:eastAsia="微软雅黑" w:cs="微软雅黑"/>
          <w:b w:val="0"/>
          <w:sz w:val="20"/>
        </w:rPr>
        <w:t>上表用2025-04-01至2025-07-01的音频明细查询得到，金额来自成交单价乘数量。重点品类不覆盖全部音频；多个品类可以出现在同一张订单中，所以品类订单数和客户数不能直接相加成总表的去重数量。整体购买客户18人并不与重点品类客户数相加的结果矛盾。</w:t>
      </w:r>
    </w:p>
    <w:p w14:paraId="478821F9">
      <w:pPr>
        <w:spacing w:after="140" w:line="300" w:lineRule="auto"/>
        <w:ind w:firstLine="312"/>
      </w:pPr>
      <w:r>
        <w:rPr>
          <w:rFonts w:ascii="微软雅黑" w:hAnsi="微软雅黑" w:eastAsia="微软雅黑" w:cs="微软雅黑"/>
          <w:b w:val="0"/>
          <w:sz w:val="20"/>
        </w:rPr>
        <w:t>基础表发出前，经营分析岗保存实际执行的查询及数据版本。负责人只需要看经营表时，可把查询放在附件中，但应留有可找到的文件位置。历史参照不是新周期的实际值，第三季度结果需要重新查询；本说明中的二季度表可用于检查历史口径，不能顶替新季度汇总。</w:t>
      </w:r>
    </w:p>
    <w:p w14:paraId="4A329350">
      <w:pPr>
        <w:pStyle w:val="3"/>
        <w:jc w:val="left"/>
      </w:pPr>
      <w:r>
        <w:rPr>
          <w:rFonts w:ascii="微软雅黑" w:hAnsi="微软雅黑" w:eastAsia="微软雅黑" w:cs="微软雅黑"/>
          <w:b/>
          <w:sz w:val="30"/>
        </w:rPr>
        <w:t>五 增长率和特殊分母</w:t>
      </w:r>
    </w:p>
    <w:p w14:paraId="551D4E61">
      <w:pPr>
        <w:spacing w:after="140" w:line="300" w:lineRule="auto"/>
        <w:ind w:firstLine="312"/>
      </w:pPr>
      <w:r>
        <w:rPr>
          <w:rFonts w:ascii="微软雅黑" w:hAnsi="微软雅黑" w:eastAsia="微软雅黑" w:cs="微软雅黑"/>
          <w:b w:val="0"/>
          <w:sz w:val="20"/>
        </w:rPr>
        <w:t>增长额＝本期销售额－上期销售额。增长率＝增长额÷上期销售额×100%。同比和环比使用同一计算式，区别在比较周期。金额增长多少美元和增长多少百分比应一起列示，上期只有一笔小额订单时尤其需要保留绝对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20AA0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4638B2A">
            <w:pPr>
              <w:spacing w:after="0" w:line="240" w:lineRule="auto"/>
            </w:pPr>
            <w:r>
              <w:rPr>
                <w:rFonts w:ascii="微软雅黑" w:hAnsi="微软雅黑" w:eastAsia="微软雅黑" w:cs="微软雅黑"/>
                <w:b/>
                <w:sz w:val="17"/>
              </w:rPr>
              <w:t>比较情形</w:t>
            </w:r>
          </w:p>
        </w:tc>
        <w:tc>
          <w:tcPr>
            <w:tcW w:w="3286" w:type="dxa"/>
          </w:tcPr>
          <w:p w14:paraId="27BA2DAB">
            <w:pPr>
              <w:spacing w:after="0" w:line="240" w:lineRule="auto"/>
            </w:pPr>
            <w:r>
              <w:rPr>
                <w:rFonts w:ascii="微软雅黑" w:hAnsi="微软雅黑" w:eastAsia="微软雅黑" w:cs="微软雅黑"/>
                <w:b/>
                <w:sz w:val="17"/>
              </w:rPr>
              <w:t>应怎样呈现</w:t>
            </w:r>
          </w:p>
        </w:tc>
        <w:tc>
          <w:tcPr>
            <w:tcW w:w="3286" w:type="dxa"/>
          </w:tcPr>
          <w:p w14:paraId="2E878EB9">
            <w:pPr>
              <w:spacing w:after="0" w:line="240" w:lineRule="auto"/>
            </w:pPr>
            <w:r>
              <w:rPr>
                <w:rFonts w:ascii="微软雅黑" w:hAnsi="微软雅黑" w:eastAsia="微软雅黑" w:cs="微软雅黑"/>
                <w:b/>
                <w:sz w:val="17"/>
              </w:rPr>
              <w:t>不应怎样呈现</w:t>
            </w:r>
          </w:p>
        </w:tc>
      </w:tr>
      <w:tr w14:paraId="6A97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7B871EB3">
            <w:pPr>
              <w:spacing w:after="0" w:line="240" w:lineRule="auto"/>
            </w:pPr>
            <w:r>
              <w:rPr>
                <w:rFonts w:ascii="微软雅黑" w:hAnsi="微软雅黑" w:eastAsia="微软雅黑" w:cs="微软雅黑"/>
                <w:b w:val="0"/>
                <w:sz w:val="17"/>
              </w:rPr>
              <w:t>基期大于零</w:t>
            </w:r>
          </w:p>
        </w:tc>
        <w:tc>
          <w:tcPr>
            <w:tcW w:w="3286" w:type="dxa"/>
          </w:tcPr>
          <w:p w14:paraId="63548BE4">
            <w:pPr>
              <w:spacing w:after="0" w:line="240" w:lineRule="auto"/>
            </w:pPr>
            <w:r>
              <w:rPr>
                <w:rFonts w:ascii="微软雅黑" w:hAnsi="微软雅黑" w:eastAsia="微软雅黑" w:cs="微软雅黑"/>
                <w:b w:val="0"/>
                <w:sz w:val="17"/>
              </w:rPr>
              <w:t>本期、基期、增长额、增长率</w:t>
            </w:r>
          </w:p>
        </w:tc>
        <w:tc>
          <w:tcPr>
            <w:tcW w:w="3286" w:type="dxa"/>
          </w:tcPr>
          <w:p w14:paraId="3E6E89BB">
            <w:pPr>
              <w:spacing w:after="0" w:line="240" w:lineRule="auto"/>
            </w:pPr>
            <w:r>
              <w:rPr>
                <w:rFonts w:ascii="微软雅黑" w:hAnsi="微软雅黑" w:eastAsia="微软雅黑" w:cs="微软雅黑"/>
                <w:b w:val="0"/>
                <w:sz w:val="17"/>
              </w:rPr>
              <w:t>只写百分比而省略规模</w:t>
            </w:r>
          </w:p>
        </w:tc>
      </w:tr>
      <w:tr w14:paraId="42FD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5D71612B">
            <w:pPr>
              <w:spacing w:after="0" w:line="240" w:lineRule="auto"/>
            </w:pPr>
            <w:r>
              <w:rPr>
                <w:rFonts w:ascii="微软雅黑" w:hAnsi="微软雅黑" w:eastAsia="微软雅黑" w:cs="微软雅黑"/>
                <w:b w:val="0"/>
                <w:sz w:val="17"/>
              </w:rPr>
              <w:t>基期为零且本期有成交</w:t>
            </w:r>
          </w:p>
        </w:tc>
        <w:tc>
          <w:tcPr>
            <w:tcW w:w="3286" w:type="dxa"/>
          </w:tcPr>
          <w:p w14:paraId="7FC41850">
            <w:pPr>
              <w:spacing w:after="0" w:line="240" w:lineRule="auto"/>
            </w:pPr>
            <w:r>
              <w:rPr>
                <w:rFonts w:ascii="微软雅黑" w:hAnsi="微软雅黑" w:eastAsia="微软雅黑" w:cs="微软雅黑"/>
                <w:b w:val="0"/>
                <w:sz w:val="17"/>
              </w:rPr>
              <w:t>列新增成交金额及件数，增长率不适用</w:t>
            </w:r>
          </w:p>
        </w:tc>
        <w:tc>
          <w:tcPr>
            <w:tcW w:w="3286" w:type="dxa"/>
          </w:tcPr>
          <w:p w14:paraId="114BEE57">
            <w:pPr>
              <w:spacing w:after="0" w:line="240" w:lineRule="auto"/>
            </w:pPr>
            <w:r>
              <w:rPr>
                <w:rFonts w:ascii="微软雅黑" w:hAnsi="微软雅黑" w:eastAsia="微软雅黑" w:cs="微软雅黑"/>
                <w:b w:val="0"/>
                <w:sz w:val="17"/>
              </w:rPr>
              <w:t>写成100%或无限增长</w:t>
            </w:r>
          </w:p>
        </w:tc>
      </w:tr>
      <w:tr w14:paraId="10C7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3A9B346E">
            <w:pPr>
              <w:spacing w:after="0" w:line="240" w:lineRule="auto"/>
            </w:pPr>
            <w:r>
              <w:rPr>
                <w:rFonts w:ascii="微软雅黑" w:hAnsi="微软雅黑" w:eastAsia="微软雅黑" w:cs="微软雅黑"/>
                <w:b w:val="0"/>
                <w:sz w:val="17"/>
              </w:rPr>
              <w:t>两期均无成交</w:t>
            </w:r>
          </w:p>
        </w:tc>
        <w:tc>
          <w:tcPr>
            <w:tcW w:w="3286" w:type="dxa"/>
          </w:tcPr>
          <w:p w14:paraId="042162A6">
            <w:pPr>
              <w:spacing w:after="0" w:line="240" w:lineRule="auto"/>
            </w:pPr>
            <w:r>
              <w:rPr>
                <w:rFonts w:ascii="微软雅黑" w:hAnsi="微软雅黑" w:eastAsia="微软雅黑" w:cs="微软雅黑"/>
                <w:b w:val="0"/>
                <w:sz w:val="17"/>
              </w:rPr>
              <w:t>列两期零成交，增长率不适用</w:t>
            </w:r>
          </w:p>
        </w:tc>
        <w:tc>
          <w:tcPr>
            <w:tcW w:w="3286" w:type="dxa"/>
          </w:tcPr>
          <w:p w14:paraId="622E9F58">
            <w:pPr>
              <w:spacing w:after="0" w:line="240" w:lineRule="auto"/>
            </w:pPr>
            <w:r>
              <w:rPr>
                <w:rFonts w:ascii="微软雅黑" w:hAnsi="微软雅黑" w:eastAsia="微软雅黑" w:cs="微软雅黑"/>
                <w:b w:val="0"/>
                <w:sz w:val="17"/>
              </w:rPr>
              <w:t>将0÷0写成0%</w:t>
            </w:r>
          </w:p>
        </w:tc>
      </w:tr>
      <w:tr w14:paraId="07E7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768C0CB9">
            <w:pPr>
              <w:spacing w:after="0" w:line="240" w:lineRule="auto"/>
            </w:pPr>
            <w:r>
              <w:rPr>
                <w:rFonts w:ascii="微软雅黑" w:hAnsi="微软雅黑" w:eastAsia="微软雅黑" w:cs="微软雅黑"/>
                <w:b w:val="0"/>
                <w:sz w:val="17"/>
              </w:rPr>
              <w:t>查询失败或覆盖未知</w:t>
            </w:r>
          </w:p>
        </w:tc>
        <w:tc>
          <w:tcPr>
            <w:tcW w:w="3286" w:type="dxa"/>
          </w:tcPr>
          <w:p w14:paraId="6034F127">
            <w:pPr>
              <w:spacing w:after="0" w:line="240" w:lineRule="auto"/>
            </w:pPr>
            <w:r>
              <w:rPr>
                <w:rFonts w:ascii="微软雅黑" w:hAnsi="微软雅黑" w:eastAsia="微软雅黑" w:cs="微软雅黑"/>
                <w:b w:val="0"/>
                <w:sz w:val="17"/>
              </w:rPr>
              <w:t>列待复核或数据缺口</w:t>
            </w:r>
          </w:p>
        </w:tc>
        <w:tc>
          <w:tcPr>
            <w:tcW w:w="3286" w:type="dxa"/>
          </w:tcPr>
          <w:p w14:paraId="0504F4EB">
            <w:pPr>
              <w:spacing w:after="0" w:line="240" w:lineRule="auto"/>
            </w:pPr>
            <w:r>
              <w:rPr>
                <w:rFonts w:ascii="微软雅黑" w:hAnsi="微软雅黑" w:eastAsia="微软雅黑" w:cs="微软雅黑"/>
                <w:b w:val="0"/>
                <w:sz w:val="17"/>
              </w:rPr>
              <w:t>当作基期为零计算</w:t>
            </w:r>
          </w:p>
        </w:tc>
      </w:tr>
    </w:tbl>
    <w:p w14:paraId="52A9CD40"/>
    <w:p w14:paraId="411AF3A0">
      <w:pPr>
        <w:spacing w:after="140" w:line="300" w:lineRule="auto"/>
        <w:ind w:firstLine="312"/>
      </w:pPr>
      <w:r>
        <w:rPr>
          <w:rFonts w:ascii="微软雅黑" w:hAnsi="微软雅黑" w:eastAsia="微软雅黑" w:cs="微软雅黑"/>
          <w:b w:val="0"/>
          <w:sz w:val="20"/>
        </w:rPr>
        <w:t>业务中“增长了两倍”经常产生歧义。报告最好直接写本期金额、基期金额和增长百分比。由10美元增加至30美元，金额是原来的三倍、增幅为200%；“增加两倍”如果缺少金额，读者可能理解为20美元。正式材料尽量避免这种写法。</w:t>
      </w:r>
    </w:p>
    <w:p w14:paraId="62C612AA">
      <w:pPr>
        <w:spacing w:after="140" w:line="300" w:lineRule="auto"/>
        <w:ind w:firstLine="312"/>
      </w:pPr>
      <w:r>
        <w:rPr>
          <w:rFonts w:ascii="微软雅黑" w:hAnsi="微软雅黑" w:eastAsia="微软雅黑" w:cs="微软雅黑"/>
          <w:b w:val="0"/>
          <w:sz w:val="20"/>
        </w:rPr>
        <w:t>若采用不同数据快照比较，两期结果可能受到补录和修订影响。分析人员需写清计算版本，并判断变化是否来自新交易还是历史记录修订。除非报告就是研究补录情况，否则先统一两期的数据版本再给出经营结论。</w:t>
      </w:r>
    </w:p>
    <w:p w14:paraId="78E55915">
      <w:pPr>
        <w:pStyle w:val="3"/>
        <w:jc w:val="left"/>
      </w:pPr>
      <w:r>
        <w:rPr>
          <w:rFonts w:ascii="微软雅黑" w:hAnsi="微软雅黑" w:eastAsia="微软雅黑" w:cs="微软雅黑"/>
          <w:b/>
          <w:sz w:val="30"/>
        </w:rPr>
        <w:t>六 销售份额与增长贡献</w:t>
      </w:r>
    </w:p>
    <w:p w14:paraId="566673A9">
      <w:pPr>
        <w:spacing w:after="140" w:line="300" w:lineRule="auto"/>
        <w:ind w:firstLine="312"/>
      </w:pPr>
      <w:r>
        <w:rPr>
          <w:rFonts w:ascii="微软雅黑" w:hAnsi="微软雅黑" w:eastAsia="微软雅黑" w:cs="微软雅黑"/>
          <w:b w:val="0"/>
          <w:sz w:val="20"/>
        </w:rPr>
        <w:t>品类销售份额＝本期品类销售额÷本期全部音频销售额×100%。它回答该品类占当前盘子的多少。品类增长额＝本期品类销售额－基期品类销售额，回答该品类给整体变化增加或减少了多少金额。两个概念分别报告，不能把本期份额当作增长贡献。</w:t>
      </w:r>
    </w:p>
    <w:p w14:paraId="33767D1C">
      <w:pPr>
        <w:spacing w:after="140" w:line="300" w:lineRule="auto"/>
        <w:ind w:firstLine="312"/>
      </w:pPr>
      <w:r>
        <w:rPr>
          <w:rFonts w:ascii="微软雅黑" w:hAnsi="微软雅黑" w:eastAsia="微软雅黑" w:cs="微软雅黑"/>
          <w:b w:val="0"/>
          <w:sz w:val="20"/>
        </w:rPr>
        <w:t>整体增长贡献率＝品类增长额÷整体增长额×100%，整体增长额不为零时使用。如果整体仅净增少量金额，但有品类大幅上升、另有品类下降，某品类贡献率可以超过100%，下降品类贡献率可以为负数。这不是数据一定错误，而是相互抵消后的净变化较小。</w:t>
      </w:r>
    </w:p>
    <w:p w14:paraId="6F91BE98">
      <w:pPr>
        <w:spacing w:after="140" w:line="300" w:lineRule="auto"/>
        <w:ind w:firstLine="312"/>
      </w:pPr>
      <w:r>
        <w:rPr>
          <w:rFonts w:ascii="微软雅黑" w:hAnsi="微软雅黑" w:eastAsia="微软雅黑" w:cs="微软雅黑"/>
          <w:b w:val="0"/>
          <w:sz w:val="20"/>
        </w:rPr>
        <w:t>当整体增长额等于零时，增长贡献率不适用，仍应报告各品类增加和减少的美元金额。当整体下降时，按负的整体变化计算的贡献率须明确分母方向；会议材料优先直接列金额增减，避免负分母让文字方向反转。需要排序时分别列拉动增长和拖累变化的品类。</w:t>
      </w:r>
    </w:p>
    <w:p w14:paraId="6CDB3182">
      <w:pPr>
        <w:spacing w:after="140" w:line="300" w:lineRule="auto"/>
        <w:ind w:firstLine="312"/>
      </w:pPr>
      <w:r>
        <w:rPr>
          <w:rFonts w:ascii="微软雅黑" w:hAnsi="微软雅黑" w:eastAsia="微软雅黑" w:cs="微软雅黑"/>
          <w:b w:val="0"/>
          <w:sz w:val="20"/>
        </w:rPr>
        <w:t>为核对总量，两期品类名单取并集，并补齐一期间为零成交的品类。不能只比较两期都有成交的品类，否则会遗漏新成交或停止成交的分类。所有品类增减金额求和应等于全音频总额变化；重点品类表无法完成这个核对，需补“其他音频分类”。</w:t>
      </w:r>
    </w:p>
    <w:p w14:paraId="3D934430">
      <w:pPr>
        <w:spacing w:after="140" w:line="300" w:lineRule="auto"/>
        <w:ind w:firstLine="312"/>
      </w:pPr>
      <w:r>
        <w:rPr>
          <w:rFonts w:ascii="微软雅黑" w:hAnsi="微软雅黑" w:eastAsia="微软雅黑" w:cs="微软雅黑"/>
          <w:b w:val="0"/>
          <w:sz w:val="20"/>
        </w:rPr>
        <w:t>份额变化用百分点表达。本期份额40%、上期35%，上升5个百分点；相对份额增幅为约14.29%，它是另一个计算。若某品类金额增加但份额下降，先看其他品类是否增长更快，不直接写成该品类销售下滑。</w:t>
      </w:r>
    </w:p>
    <w:p w14:paraId="58F778A0">
      <w:pPr>
        <w:pStyle w:val="3"/>
        <w:jc w:val="left"/>
      </w:pPr>
      <w:r>
        <w:rPr>
          <w:rFonts w:ascii="微软雅黑" w:hAnsi="微软雅黑" w:eastAsia="微软雅黑" w:cs="微软雅黑"/>
          <w:b/>
          <w:sz w:val="30"/>
        </w:rPr>
        <w:t>七 订单数与客单价拆解</w:t>
      </w:r>
    </w:p>
    <w:p w14:paraId="630CDEA1">
      <w:pPr>
        <w:spacing w:after="140" w:line="300" w:lineRule="auto"/>
        <w:ind w:firstLine="312"/>
      </w:pPr>
      <w:r>
        <w:rPr>
          <w:rFonts w:ascii="微软雅黑" w:hAnsi="微软雅黑" w:eastAsia="微软雅黑" w:cs="微软雅黑"/>
          <w:b w:val="0"/>
          <w:sz w:val="20"/>
        </w:rPr>
        <w:t>在同一数据范围内，销售额＝订单数×客单价。可以用这个恒等式区分订单数量变化和单张订单金额变化。设基期订单数为N0、客单价为A0，本期为N1、A1，则销售额增减可按“先改变订单数，再改变客单价”的顺序拆开。</w:t>
      </w:r>
    </w:p>
    <w:p w14:paraId="19BBE4B2">
      <w:pPr>
        <w:spacing w:after="140" w:line="300" w:lineRule="auto"/>
        <w:ind w:firstLine="312"/>
      </w:pPr>
      <w:r>
        <w:rPr>
          <w:rFonts w:ascii="微软雅黑" w:hAnsi="微软雅黑" w:eastAsia="微软雅黑" w:cs="微软雅黑"/>
          <w:b w:val="0"/>
          <w:sz w:val="20"/>
        </w:rPr>
        <w:t>订单数变化项＝（N1－N0）×A0；客单价变化项＝N1×（A1－A0）。两项相加等于本期销售额减基期销售额。拆解顺序要在报告中注明，调换顺序会改变两项分配；不能把这种代数分配直接写成两个独立的因果效果。</w:t>
      </w:r>
    </w:p>
    <w:p w14:paraId="43E99A41">
      <w:pPr>
        <w:spacing w:after="140" w:line="300" w:lineRule="auto"/>
        <w:ind w:firstLine="312"/>
      </w:pPr>
      <w:r>
        <w:rPr>
          <w:rFonts w:ascii="微软雅黑" w:hAnsi="微软雅黑" w:eastAsia="微软雅黑" w:cs="微软雅黑"/>
          <w:b w:val="0"/>
          <w:sz w:val="20"/>
        </w:rPr>
        <w:t>方法演算：基期10单、客单价4美元，本期12单、客单价5美元。销售额由40增至60美元，增加20美元。订单数变化项为8美元，客单价变化项为12美元，两项合计20美元。这里的数值用于演算，不是季度经营结果。</w:t>
      </w:r>
    </w:p>
    <w:p w14:paraId="107BED04">
      <w:pPr>
        <w:spacing w:after="140" w:line="300" w:lineRule="auto"/>
        <w:ind w:firstLine="312"/>
      </w:pPr>
      <w:r>
        <w:rPr>
          <w:rFonts w:ascii="微软雅黑" w:hAnsi="微软雅黑" w:eastAsia="微软雅黑" w:cs="微软雅黑"/>
          <w:b w:val="0"/>
          <w:sz w:val="20"/>
        </w:rPr>
        <w:t>某期订单数为零，客单价不可计算，上述拆解不能直接套用。应先报告无成交和新增成交情况，或改用其他有定义的指标观察。不能把无订单时的客单价设成零后宣称客单价大幅增长。</w:t>
      </w:r>
    </w:p>
    <w:p w14:paraId="35962476">
      <w:pPr>
        <w:spacing w:after="140" w:line="300" w:lineRule="auto"/>
        <w:ind w:firstLine="312"/>
      </w:pPr>
      <w:r>
        <w:rPr>
          <w:rFonts w:ascii="微软雅黑" w:hAnsi="微软雅黑" w:eastAsia="微软雅黑" w:cs="微软雅黑"/>
          <w:b w:val="0"/>
          <w:sz w:val="20"/>
        </w:rPr>
        <w:t>分析客户时可进一步列“购买客户数×每位购买客户的平均订单数×客单价”，其乘积与同范围销售额一致。新客户增加、客户下单频次变化和单次购买金额变化是不同观察项，需要相应的去重客户和订单数据才能展开。</w:t>
      </w:r>
    </w:p>
    <w:p w14:paraId="030E436F">
      <w:pPr>
        <w:pStyle w:val="3"/>
        <w:jc w:val="left"/>
      </w:pPr>
      <w:r>
        <w:rPr>
          <w:rFonts w:ascii="微软雅黑" w:hAnsi="微软雅黑" w:eastAsia="微软雅黑" w:cs="微软雅黑"/>
          <w:b/>
          <w:sz w:val="30"/>
        </w:rPr>
        <w:t>八 销量与成交均价分析</w:t>
      </w:r>
    </w:p>
    <w:p w14:paraId="53BE9EF3">
      <w:pPr>
        <w:spacing w:after="140" w:line="300" w:lineRule="auto"/>
        <w:ind w:firstLine="312"/>
      </w:pPr>
      <w:r>
        <w:rPr>
          <w:rFonts w:ascii="微软雅黑" w:hAnsi="微软雅黑" w:eastAsia="微软雅黑" w:cs="微软雅黑"/>
          <w:b w:val="0"/>
          <w:sz w:val="20"/>
        </w:rPr>
        <w:t>销售额也可表示为销量×成交均价。成交均价是明细销售额除以明细数量，并不等于把Track中所有商品价格简单求平均。只查看目录里价格最高的商品，却没有查看其是否成交，不能解释当期实际均价。</w:t>
      </w:r>
    </w:p>
    <w:p w14:paraId="32E7DA8C">
      <w:pPr>
        <w:spacing w:after="140" w:line="300" w:lineRule="auto"/>
        <w:ind w:firstLine="312"/>
      </w:pPr>
      <w:r>
        <w:rPr>
          <w:rFonts w:ascii="微软雅黑" w:hAnsi="微软雅黑" w:eastAsia="微软雅黑" w:cs="微软雅黑"/>
          <w:b w:val="0"/>
          <w:sz w:val="20"/>
        </w:rPr>
        <w:t>有价格差异时，可按商品、媒体类型和价格带分组检查销量结构。在本期和基期均价都可计算的前提下，销量变化项＝（Q1－Q0）×P0，均价变化项＝Q1×（P1－P0）。其中Q为销量、P为成交均价，先数量后价格的顺序与上一章保持一致。均价变化也可能来自商品组合变化，未必是同一商品涨价。</w:t>
      </w:r>
    </w:p>
    <w:p w14:paraId="4E3F5B60">
      <w:pPr>
        <w:spacing w:after="140" w:line="300" w:lineRule="auto"/>
        <w:ind w:firstLine="312"/>
      </w:pPr>
      <w:r>
        <w:rPr>
          <w:rFonts w:ascii="微软雅黑" w:hAnsi="微软雅黑" w:eastAsia="微软雅黑" w:cs="微软雅黑"/>
          <w:b w:val="0"/>
          <w:sz w:val="20"/>
        </w:rPr>
        <w:t>针对当前音频数据应先核验成交单价是否有变化。若比较期内所有音频订单明细都为同一单价0.99美元，销售额变化就与销量变化成比例。此时不应把下降原因写成高价商品减少或优惠折扣增加，也无法通过现有成交数据证明某个价格带调整有效。</w:t>
      </w:r>
    </w:p>
    <w:p w14:paraId="10E0BBE6">
      <w:pPr>
        <w:spacing w:after="140" w:line="300" w:lineRule="auto"/>
        <w:ind w:firstLine="312"/>
      </w:pPr>
      <w:r>
        <w:rPr>
          <w:rFonts w:ascii="微软雅黑" w:hAnsi="微软雅黑" w:eastAsia="微软雅黑" w:cs="微软雅黑"/>
          <w:b w:val="0"/>
          <w:sz w:val="20"/>
        </w:rPr>
        <w:t>目录检查和后续选品建议仍然可以提出，但要写成需补充或需核对的事项。视频单价与音频不同，若混入视频后均价上涨，应首先修正范围，不能将其作为音乐业务价格结构改善的证据。</w:t>
      </w:r>
    </w:p>
    <w:p w14:paraId="2AF9C4E2">
      <w:pPr>
        <w:pStyle w:val="3"/>
        <w:jc w:val="left"/>
      </w:pPr>
      <w:r>
        <w:rPr>
          <w:rFonts w:ascii="微软雅黑" w:hAnsi="微软雅黑" w:eastAsia="微软雅黑" w:cs="微软雅黑"/>
          <w:b/>
          <w:sz w:val="30"/>
        </w:rPr>
        <w:t>九 商品与专辑下钻</w:t>
      </w:r>
    </w:p>
    <w:p w14:paraId="12D42C4B">
      <w:pPr>
        <w:spacing w:after="140" w:line="300" w:lineRule="auto"/>
        <w:ind w:firstLine="312"/>
      </w:pPr>
      <w:r>
        <w:rPr>
          <w:rFonts w:ascii="微软雅黑" w:hAnsi="微软雅黑" w:eastAsia="微软雅黑" w:cs="微软雅黑"/>
          <w:b w:val="0"/>
          <w:sz w:val="20"/>
        </w:rPr>
        <w:t>商品分析以TrackId为识别键，名称只用于展示。不同商品可能同名，同一艺术家也可能有多个专辑，报告中至少保留商品编号、商品名称、专辑和艺术家。涉及重名而提问未给更多信息时，先展示候选对象或确认专辑，不凭名字挑选第一条记录。</w:t>
      </w:r>
    </w:p>
    <w:p w14:paraId="26067886">
      <w:pPr>
        <w:spacing w:after="140" w:line="300" w:lineRule="auto"/>
        <w:ind w:firstLine="312"/>
      </w:pPr>
      <w:r>
        <w:rPr>
          <w:rFonts w:ascii="微软雅黑" w:hAnsi="微软雅黑" w:eastAsia="微软雅黑" w:cs="微软雅黑"/>
          <w:b w:val="0"/>
          <w:sz w:val="20"/>
        </w:rPr>
        <w:t>销售额排名用金额排序，销量排名用件数排序。排名前五遇到并列时，默认按TrackId或GenreId升序返回固定条数，并在表头标明排序；如果需求说“包括并列”，则把边界并列一起返回。数据库查询中不能省略排序后再取前五，这会使同一问题不同运行得到不同对象。</w:t>
      </w:r>
    </w:p>
    <w:p w14:paraId="03E2BA43">
      <w:pPr>
        <w:spacing w:after="140" w:line="300" w:lineRule="auto"/>
        <w:ind w:firstLine="312"/>
      </w:pPr>
      <w:r>
        <w:rPr>
          <w:rFonts w:ascii="微软雅黑" w:hAnsi="微软雅黑" w:eastAsia="微软雅黑" w:cs="微软雅黑"/>
          <w:b w:val="0"/>
          <w:sz w:val="20"/>
        </w:rPr>
        <w:t>专题选品可从已有成交专辑和相关未购商品入手。数字音乐商品不是日常消耗品，客户继续购买同一品类不表示同一曲目需要重复购买。分析复购时应识别跨订单的再次购买和商品差异，不把某曲目被多个客户买过写成同一客户高频复购。</w:t>
      </w:r>
    </w:p>
    <w:p w14:paraId="78513565">
      <w:pPr>
        <w:spacing w:after="140" w:line="300" w:lineRule="auto"/>
        <w:ind w:firstLine="312"/>
      </w:pPr>
      <w:r>
        <w:rPr>
          <w:rFonts w:ascii="微软雅黑" w:hAnsi="微软雅黑" w:eastAsia="微软雅黑" w:cs="微软雅黑"/>
          <w:b w:val="0"/>
          <w:sz w:val="20"/>
        </w:rPr>
        <w:t>播放列表仅提供收录关系，可帮助内容岗组织主题，不能用作播放热度。通过PlaylistTrack连接到销售明细时，一条商品可能对应多个播放列表，金额和销量会被重复扩展。若研究某播放列表中商品的销售，先对该列表商品去重，再筛选成交明细。</w:t>
      </w:r>
    </w:p>
    <w:p w14:paraId="3E0D3DD7">
      <w:pPr>
        <w:pStyle w:val="3"/>
        <w:jc w:val="left"/>
      </w:pPr>
      <w:r>
        <w:rPr>
          <w:rFonts w:ascii="微软雅黑" w:hAnsi="微软雅黑" w:eastAsia="微软雅黑" w:cs="微软雅黑"/>
          <w:b/>
          <w:sz w:val="30"/>
        </w:rPr>
        <w:t>十 客户结构和账单地区</w:t>
      </w:r>
    </w:p>
    <w:p w14:paraId="24DB46BA">
      <w:pPr>
        <w:spacing w:after="140" w:line="300" w:lineRule="auto"/>
        <w:ind w:firstLine="312"/>
      </w:pPr>
      <w:r>
        <w:rPr>
          <w:rFonts w:ascii="微软雅黑" w:hAnsi="微软雅黑" w:eastAsia="微软雅黑" w:cs="微软雅黑"/>
          <w:b w:val="0"/>
          <w:sz w:val="20"/>
        </w:rPr>
        <w:t>客户层材料先列购买客户数，再观察客户订单数、销售额和最近成交日期。观察期内下单至少两张订单的客户，可称为该观察期的重复购买客户；重复购买客户比例以同期购买客户数为分母。这个比例不是留存率，留存率需要先指定基期客户队列以及后续观察窗口。</w:t>
      </w:r>
    </w:p>
    <w:p w14:paraId="6BD8BAF6">
      <w:pPr>
        <w:spacing w:after="140" w:line="300" w:lineRule="auto"/>
        <w:ind w:firstLine="312"/>
      </w:pPr>
      <w:r>
        <w:rPr>
          <w:rFonts w:ascii="微软雅黑" w:hAnsi="微软雅黑" w:eastAsia="微软雅黑" w:cs="微软雅黑"/>
          <w:b w:val="0"/>
          <w:sz w:val="20"/>
        </w:rPr>
        <w:t>“新购买客户”需明确首次购买定义。默认从当前可用全部历史音频订单中查每位客户的首次音频成交日期，落在本期的计为本期首次购买客户。若只有本季度快照，只能说本季度首次观察到，不能由此断言是企业新获客。Customer表建档不等于客户已经购买。</w:t>
      </w:r>
    </w:p>
    <w:p w14:paraId="4DD338BB">
      <w:pPr>
        <w:spacing w:after="140" w:line="300" w:lineRule="auto"/>
        <w:ind w:firstLine="312"/>
      </w:pPr>
      <w:r>
        <w:rPr>
          <w:rFonts w:ascii="微软雅黑" w:hAnsi="微软雅黑" w:eastAsia="微软雅黑" w:cs="微软雅黑"/>
          <w:b w:val="0"/>
          <w:sz w:val="20"/>
        </w:rPr>
        <w:t>支持负责人可用于安排维护任务，不能作为销售归属或佣金。客户金额较高时也不立即认定重点维护等级，等级需由专门的客户分层规则确定。没有分层规则时，报告可给事实排名，并说明待按运营规则审核。</w:t>
      </w:r>
    </w:p>
    <w:p w14:paraId="10E9A15C">
      <w:pPr>
        <w:spacing w:after="140" w:line="300" w:lineRule="auto"/>
        <w:ind w:firstLine="312"/>
      </w:pPr>
      <w:r>
        <w:rPr>
          <w:rFonts w:ascii="微软雅黑" w:hAnsi="微软雅黑" w:eastAsia="微软雅黑" w:cs="微软雅黑"/>
          <w:b w:val="0"/>
          <w:sz w:val="20"/>
        </w:rPr>
        <w:t>地区销售默认按Invoice的账单国家、城市统计，Customer中的所在地回答的是不同问题。一个客户的账单地址可能与其所在地不同。若一张图使用账单国家、另一张使用客户国家，应分别命名并解释；不能把两张图金额不一致解释为客户迁移。</w:t>
      </w:r>
    </w:p>
    <w:p w14:paraId="5BE4A34F">
      <w:pPr>
        <w:spacing w:after="140" w:line="300" w:lineRule="auto"/>
        <w:ind w:firstLine="312"/>
      </w:pPr>
      <w:r>
        <w:rPr>
          <w:rFonts w:ascii="微软雅黑" w:hAnsi="微软雅黑" w:eastAsia="微软雅黑" w:cs="微软雅黑"/>
          <w:b w:val="0"/>
          <w:sz w:val="20"/>
        </w:rPr>
        <w:t>地区金额可以相加回总额，客户跨地区成交时各地区购买客户数不具有可加性。没有访问量、人口或市场投入等分母时，地区销售排名只描述成交分布，不能推出市场渗透率或投放效率。</w:t>
      </w:r>
    </w:p>
    <w:p w14:paraId="4F1DEEC5">
      <w:pPr>
        <w:pStyle w:val="3"/>
        <w:jc w:val="left"/>
      </w:pPr>
      <w:r>
        <w:rPr>
          <w:rFonts w:ascii="微软雅黑" w:hAnsi="微软雅黑" w:eastAsia="微软雅黑" w:cs="微软雅黑"/>
          <w:b/>
          <w:sz w:val="30"/>
        </w:rPr>
        <w:t>十一 目标差额与进度解释</w:t>
      </w:r>
    </w:p>
    <w:p w14:paraId="7D537EFB">
      <w:pPr>
        <w:spacing w:after="140" w:line="300" w:lineRule="auto"/>
        <w:ind w:firstLine="312"/>
      </w:pPr>
      <w:r>
        <w:rPr>
          <w:rFonts w:ascii="微软雅黑" w:hAnsi="微软雅黑" w:eastAsia="微软雅黑" w:cs="微软雅黑"/>
          <w:b w:val="0"/>
          <w:sz w:val="20"/>
        </w:rPr>
        <w:t>按 季度目标 对应周期取得目标，再计算实际销售额和目标的差额。差额＝实际销售额－目标，负值表示未达；缺口金额取max（目标－实际销售额，0），避免达标后报告负的缺口。销售额达成率＝实际销售额÷目标×100%，目标为零时达成率不适用，并单独说明目标定义。</w:t>
      </w:r>
    </w:p>
    <w:p w14:paraId="081CDED6">
      <w:pPr>
        <w:spacing w:after="140" w:line="300" w:lineRule="auto"/>
        <w:ind w:firstLine="312"/>
      </w:pPr>
      <w:r>
        <w:rPr>
          <w:rFonts w:ascii="微软雅黑" w:hAnsi="微软雅黑" w:eastAsia="微软雅黑" w:cs="微软雅黑"/>
          <w:b w:val="0"/>
          <w:sz w:val="20"/>
        </w:rPr>
        <w:t>季度目标的2025年第三季度V1.0中，Rock为50.00美元及50件，Metal为24.00美元及25件，Latin为18.00美元及18件，全音频为120.00美元及125件。此处数字用于确认采用版本。后续若有正式目标修订，应按相应生效记录取值，当前数据库实际金额不能反过来改写目标。</w:t>
      </w:r>
    </w:p>
    <w:p w14:paraId="7ED5C34C">
      <w:pPr>
        <w:spacing w:after="140" w:line="300" w:lineRule="auto"/>
        <w:ind w:firstLine="312"/>
      </w:pPr>
      <w:r>
        <w:rPr>
          <w:rFonts w:ascii="微软雅黑" w:hAnsi="微软雅黑" w:eastAsia="微软雅黑" w:cs="微软雅黑"/>
          <w:b w:val="0"/>
          <w:sz w:val="20"/>
        </w:rPr>
        <w:t>销售额达成和销量达成分别判断。只问销售额是否达标时，回答销售额结论；问季度目标是否全部完成时，两项都要达到。实际值先按完整金额计算，之后展示两位小数。显示的百分比因四舍五入成为100.00%，也不自动代表实际值达到目标。</w:t>
      </w:r>
    </w:p>
    <w:p w14:paraId="6629B3F7">
      <w:pPr>
        <w:spacing w:after="140" w:line="300" w:lineRule="auto"/>
        <w:ind w:firstLine="312"/>
      </w:pPr>
      <w:r>
        <w:rPr>
          <w:rFonts w:ascii="微软雅黑" w:hAnsi="微软雅黑" w:eastAsia="微软雅黑" w:cs="微软雅黑"/>
          <w:b w:val="0"/>
          <w:sz w:val="20"/>
        </w:rPr>
        <w:t>过程检查需另外选择分母。季度目标的Rock截至8月底累计销售额计划为32.00美元；使用同期累计实际除以32.00美元，是计划进度。使用同一实际除以季度50.00美元，是季度完成比例。季度目标的90%和80%用于完整月份后的过程预警，季度销售额达标线仍为100%。</w:t>
      </w:r>
    </w:p>
    <w:p w14:paraId="331172DD">
      <w:pPr>
        <w:spacing w:after="140" w:line="300" w:lineRule="auto"/>
        <w:ind w:firstLine="312"/>
      </w:pPr>
      <w:r>
        <w:rPr>
          <w:rFonts w:ascii="微软雅黑" w:hAnsi="微软雅黑" w:eastAsia="微软雅黑" w:cs="微软雅黑"/>
          <w:b w:val="0"/>
          <w:sz w:val="20"/>
        </w:rPr>
        <w:t>即使本期相对上一季度增长，也可能低于计划。增长比较基期实际，达成比较目标，两个判断可同时成立。经营会议中将增长、达成和资源优先级放在不同列，避免把排名第一或同比增长写成目标已经完成。</w:t>
      </w:r>
    </w:p>
    <w:p w14:paraId="6CCE0575">
      <w:pPr>
        <w:pStyle w:val="3"/>
        <w:jc w:val="left"/>
      </w:pPr>
      <w:r>
        <w:rPr>
          <w:rFonts w:ascii="微软雅黑" w:hAnsi="微软雅黑" w:eastAsia="微软雅黑" w:cs="微软雅黑"/>
          <w:b/>
          <w:sz w:val="30"/>
        </w:rPr>
        <w:t>附件A 分析任务交接说明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15D8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4C5CF7E">
            <w:pPr>
              <w:spacing w:after="0" w:line="240" w:lineRule="auto"/>
            </w:pPr>
            <w:r>
              <w:rPr>
                <w:rFonts w:ascii="微软雅黑" w:hAnsi="微软雅黑" w:eastAsia="微软雅黑" w:cs="微软雅黑"/>
                <w:b/>
                <w:sz w:val="17"/>
              </w:rPr>
              <w:t>交接材料</w:t>
            </w:r>
          </w:p>
        </w:tc>
        <w:tc>
          <w:tcPr>
            <w:tcW w:w="3286" w:type="dxa"/>
          </w:tcPr>
          <w:p w14:paraId="427C8CBE">
            <w:pPr>
              <w:spacing w:after="0" w:line="240" w:lineRule="auto"/>
            </w:pPr>
            <w:r>
              <w:rPr>
                <w:rFonts w:ascii="微软雅黑" w:hAnsi="微软雅黑" w:eastAsia="微软雅黑" w:cs="微软雅黑"/>
                <w:b/>
                <w:sz w:val="17"/>
              </w:rPr>
              <w:t>需要保留的内容</w:t>
            </w:r>
          </w:p>
        </w:tc>
        <w:tc>
          <w:tcPr>
            <w:tcW w:w="3286" w:type="dxa"/>
          </w:tcPr>
          <w:p w14:paraId="564D3B34">
            <w:pPr>
              <w:spacing w:after="0" w:line="240" w:lineRule="auto"/>
            </w:pPr>
            <w:r>
              <w:rPr>
                <w:rFonts w:ascii="微软雅黑" w:hAnsi="微软雅黑" w:eastAsia="微软雅黑" w:cs="微软雅黑"/>
                <w:b/>
                <w:sz w:val="17"/>
              </w:rPr>
              <w:t>接收岗位检查</w:t>
            </w:r>
          </w:p>
        </w:tc>
      </w:tr>
      <w:tr w14:paraId="6DD3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79698CD8">
            <w:pPr>
              <w:spacing w:after="0" w:line="240" w:lineRule="auto"/>
            </w:pPr>
            <w:r>
              <w:rPr>
                <w:rFonts w:ascii="微软雅黑" w:hAnsi="微软雅黑" w:eastAsia="微软雅黑" w:cs="微软雅黑"/>
                <w:b w:val="0"/>
                <w:sz w:val="17"/>
              </w:rPr>
              <w:t>需求记录</w:t>
            </w:r>
          </w:p>
        </w:tc>
        <w:tc>
          <w:tcPr>
            <w:tcW w:w="3286" w:type="dxa"/>
          </w:tcPr>
          <w:p w14:paraId="1E321C21">
            <w:pPr>
              <w:spacing w:after="0" w:line="240" w:lineRule="auto"/>
            </w:pPr>
            <w:r>
              <w:rPr>
                <w:rFonts w:ascii="微软雅黑" w:hAnsi="微软雅黑" w:eastAsia="微软雅黑" w:cs="微软雅黑"/>
                <w:b w:val="0"/>
                <w:sz w:val="17"/>
              </w:rPr>
              <w:t>指标、时期、范围、比较基准</w:t>
            </w:r>
          </w:p>
        </w:tc>
        <w:tc>
          <w:tcPr>
            <w:tcW w:w="3286" w:type="dxa"/>
          </w:tcPr>
          <w:p w14:paraId="1D01B249">
            <w:pPr>
              <w:spacing w:after="0" w:line="240" w:lineRule="auto"/>
            </w:pPr>
            <w:r>
              <w:rPr>
                <w:rFonts w:ascii="微软雅黑" w:hAnsi="微软雅黑" w:eastAsia="微软雅黑" w:cs="微软雅黑"/>
                <w:b w:val="0"/>
                <w:sz w:val="17"/>
              </w:rPr>
              <w:t>与报告标题一致</w:t>
            </w:r>
          </w:p>
        </w:tc>
      </w:tr>
      <w:tr w14:paraId="3C4E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3B26154F">
            <w:pPr>
              <w:spacing w:after="0" w:line="240" w:lineRule="auto"/>
            </w:pPr>
            <w:r>
              <w:rPr>
                <w:rFonts w:ascii="微软雅黑" w:hAnsi="微软雅黑" w:eastAsia="微软雅黑" w:cs="微软雅黑"/>
                <w:b w:val="0"/>
                <w:sz w:val="17"/>
              </w:rPr>
              <w:t>查询文件</w:t>
            </w:r>
          </w:p>
        </w:tc>
        <w:tc>
          <w:tcPr>
            <w:tcW w:w="3286" w:type="dxa"/>
          </w:tcPr>
          <w:p w14:paraId="101F0408">
            <w:pPr>
              <w:spacing w:after="0" w:line="240" w:lineRule="auto"/>
            </w:pPr>
            <w:r>
              <w:rPr>
                <w:rFonts w:ascii="微软雅黑" w:hAnsi="微软雅黑" w:eastAsia="微软雅黑" w:cs="微软雅黑"/>
                <w:b w:val="0"/>
                <w:sz w:val="17"/>
              </w:rPr>
              <w:t>实际SQL、参数、执行时间</w:t>
            </w:r>
          </w:p>
        </w:tc>
        <w:tc>
          <w:tcPr>
            <w:tcW w:w="3286" w:type="dxa"/>
          </w:tcPr>
          <w:p w14:paraId="4CB456AC">
            <w:pPr>
              <w:spacing w:after="0" w:line="240" w:lineRule="auto"/>
            </w:pPr>
            <w:r>
              <w:rPr>
                <w:rFonts w:ascii="微软雅黑" w:hAnsi="微软雅黑" w:eastAsia="微软雅黑" w:cs="微软雅黑"/>
                <w:b w:val="0"/>
                <w:sz w:val="17"/>
              </w:rPr>
              <w:t>可从记录复现范围</w:t>
            </w:r>
          </w:p>
        </w:tc>
      </w:tr>
      <w:tr w14:paraId="3025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9B0102F">
            <w:pPr>
              <w:spacing w:after="0" w:line="240" w:lineRule="auto"/>
            </w:pPr>
            <w:r>
              <w:rPr>
                <w:rFonts w:ascii="微软雅黑" w:hAnsi="微软雅黑" w:eastAsia="微软雅黑" w:cs="微软雅黑"/>
                <w:b w:val="0"/>
                <w:sz w:val="17"/>
              </w:rPr>
              <w:t>结果文件</w:t>
            </w:r>
          </w:p>
        </w:tc>
        <w:tc>
          <w:tcPr>
            <w:tcW w:w="3286" w:type="dxa"/>
          </w:tcPr>
          <w:p w14:paraId="3B6A710F">
            <w:pPr>
              <w:spacing w:after="0" w:line="240" w:lineRule="auto"/>
            </w:pPr>
            <w:r>
              <w:rPr>
                <w:rFonts w:ascii="微软雅黑" w:hAnsi="微软雅黑" w:eastAsia="微软雅黑" w:cs="微软雅黑"/>
                <w:b w:val="0"/>
                <w:sz w:val="17"/>
              </w:rPr>
              <w:t>列名、金额单位、明细或汇总粒度</w:t>
            </w:r>
          </w:p>
        </w:tc>
        <w:tc>
          <w:tcPr>
            <w:tcW w:w="3286" w:type="dxa"/>
          </w:tcPr>
          <w:p w14:paraId="73D25001">
            <w:pPr>
              <w:spacing w:after="0" w:line="240" w:lineRule="auto"/>
            </w:pPr>
            <w:r>
              <w:rPr>
                <w:rFonts w:ascii="微软雅黑" w:hAnsi="微软雅黑" w:eastAsia="微软雅黑" w:cs="微软雅黑"/>
                <w:b w:val="0"/>
                <w:sz w:val="17"/>
              </w:rPr>
              <w:t>金额与报告相同</w:t>
            </w:r>
          </w:p>
        </w:tc>
      </w:tr>
      <w:tr w14:paraId="23BA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F61586C">
            <w:pPr>
              <w:spacing w:after="0" w:line="240" w:lineRule="auto"/>
            </w:pPr>
            <w:r>
              <w:rPr>
                <w:rFonts w:ascii="微软雅黑" w:hAnsi="微软雅黑" w:eastAsia="微软雅黑" w:cs="微软雅黑"/>
                <w:b w:val="0"/>
                <w:sz w:val="17"/>
              </w:rPr>
              <w:t>文档依据</w:t>
            </w:r>
          </w:p>
        </w:tc>
        <w:tc>
          <w:tcPr>
            <w:tcW w:w="3286" w:type="dxa"/>
          </w:tcPr>
          <w:p w14:paraId="4CE952D5">
            <w:pPr>
              <w:spacing w:after="0" w:line="240" w:lineRule="auto"/>
            </w:pPr>
            <w:r>
              <w:rPr>
                <w:rFonts w:ascii="微软雅黑" w:hAnsi="微软雅黑" w:eastAsia="微软雅黑" w:cs="微软雅黑"/>
                <w:b w:val="0"/>
                <w:sz w:val="17"/>
              </w:rPr>
              <w:t>指标口径口径、季度目标目标、品类手册动作及版本</w:t>
            </w:r>
          </w:p>
        </w:tc>
        <w:tc>
          <w:tcPr>
            <w:tcW w:w="3286" w:type="dxa"/>
          </w:tcPr>
          <w:p w14:paraId="2BEDBAA9">
            <w:pPr>
              <w:spacing w:after="0" w:line="240" w:lineRule="auto"/>
            </w:pPr>
            <w:r>
              <w:rPr>
                <w:rFonts w:ascii="微软雅黑" w:hAnsi="微软雅黑" w:eastAsia="微软雅黑" w:cs="微软雅黑"/>
                <w:b w:val="0"/>
                <w:sz w:val="17"/>
              </w:rPr>
              <w:t>采用周期适用</w:t>
            </w:r>
          </w:p>
        </w:tc>
      </w:tr>
      <w:tr w14:paraId="16EF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55D1857">
            <w:pPr>
              <w:spacing w:after="0" w:line="240" w:lineRule="auto"/>
            </w:pPr>
            <w:r>
              <w:rPr>
                <w:rFonts w:ascii="微软雅黑" w:hAnsi="微软雅黑" w:eastAsia="微软雅黑" w:cs="微软雅黑"/>
                <w:b w:val="0"/>
                <w:sz w:val="17"/>
              </w:rPr>
              <w:t>问题登记</w:t>
            </w:r>
          </w:p>
        </w:tc>
        <w:tc>
          <w:tcPr>
            <w:tcW w:w="3286" w:type="dxa"/>
          </w:tcPr>
          <w:p w14:paraId="5D58C239">
            <w:pPr>
              <w:spacing w:after="0" w:line="240" w:lineRule="auto"/>
            </w:pPr>
            <w:r>
              <w:rPr>
                <w:rFonts w:ascii="微软雅黑" w:hAnsi="微软雅黑" w:eastAsia="微软雅黑" w:cs="微软雅黑"/>
                <w:b w:val="0"/>
                <w:sz w:val="17"/>
              </w:rPr>
              <w:t>待核对项目、处理岗位、下次日期</w:t>
            </w:r>
          </w:p>
        </w:tc>
        <w:tc>
          <w:tcPr>
            <w:tcW w:w="3286" w:type="dxa"/>
          </w:tcPr>
          <w:p w14:paraId="10A7DD96">
            <w:pPr>
              <w:spacing w:after="0" w:line="240" w:lineRule="auto"/>
            </w:pPr>
            <w:r>
              <w:rPr>
                <w:rFonts w:ascii="微软雅黑" w:hAnsi="微软雅黑" w:eastAsia="微软雅黑" w:cs="微软雅黑"/>
                <w:b w:val="0"/>
                <w:sz w:val="17"/>
              </w:rPr>
              <w:t>交接后有人跟进</w:t>
            </w:r>
          </w:p>
        </w:tc>
      </w:tr>
      <w:tr w14:paraId="1AD5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76FD3265">
            <w:pPr>
              <w:spacing w:after="0" w:line="240" w:lineRule="auto"/>
            </w:pPr>
            <w:r>
              <w:rPr>
                <w:rFonts w:ascii="微软雅黑" w:hAnsi="微软雅黑" w:eastAsia="微软雅黑" w:cs="微软雅黑"/>
                <w:b w:val="0"/>
                <w:sz w:val="17"/>
              </w:rPr>
              <w:t>更正记录</w:t>
            </w:r>
          </w:p>
        </w:tc>
        <w:tc>
          <w:tcPr>
            <w:tcW w:w="3286" w:type="dxa"/>
          </w:tcPr>
          <w:p w14:paraId="3E3D0CC7">
            <w:pPr>
              <w:spacing w:after="0" w:line="240" w:lineRule="auto"/>
            </w:pPr>
            <w:r>
              <w:rPr>
                <w:rFonts w:ascii="微软雅黑" w:hAnsi="微软雅黑" w:eastAsia="微软雅黑" w:cs="微软雅黑"/>
                <w:b w:val="0"/>
                <w:sz w:val="17"/>
              </w:rPr>
              <w:t>原值、新值及受影响表图</w:t>
            </w:r>
          </w:p>
        </w:tc>
        <w:tc>
          <w:tcPr>
            <w:tcW w:w="3286" w:type="dxa"/>
          </w:tcPr>
          <w:p w14:paraId="073552F1">
            <w:pPr>
              <w:spacing w:after="0" w:line="240" w:lineRule="auto"/>
            </w:pPr>
            <w:r>
              <w:rPr>
                <w:rFonts w:ascii="微软雅黑" w:hAnsi="微软雅黑" w:eastAsia="微软雅黑" w:cs="微软雅黑"/>
                <w:b w:val="0"/>
                <w:sz w:val="17"/>
              </w:rPr>
              <w:t>旧文件可识别为被替代</w:t>
            </w:r>
          </w:p>
        </w:tc>
      </w:tr>
    </w:tbl>
    <w:p w14:paraId="4AA2F508"/>
    <w:p w14:paraId="4876DF09">
      <w:pPr>
        <w:spacing w:after="140" w:line="300" w:lineRule="auto"/>
        <w:ind w:firstLine="312"/>
      </w:pPr>
      <w:r>
        <w:rPr>
          <w:rFonts w:ascii="微软雅黑" w:hAnsi="微软雅黑" w:eastAsia="微软雅黑" w:cs="微软雅黑"/>
          <w:b w:val="0"/>
          <w:sz w:val="20"/>
        </w:rPr>
        <w:t>文件名建议采用“统计周期_数据范围_分析事项_版本”，例如2025Q3_音频_品类变化_V1.0。查询和结果可以放在同一任务目录，会议素材另放子目录。纸质材料只打印核心表和需要讨论的事项，完整明细放在电子附件；归档时核对附件链接能否打开，不只保留聊天里的预览截图。</w:t>
      </w:r>
    </w:p>
    <w:p w14:paraId="772870A7">
      <w:pPr>
        <w:spacing w:after="140" w:line="300" w:lineRule="auto"/>
        <w:ind w:firstLine="312"/>
      </w:pPr>
      <w:r>
        <w:rPr>
          <w:rFonts w:ascii="微软雅黑" w:hAnsi="微软雅黑" w:eastAsia="微软雅黑" w:cs="微软雅黑"/>
          <w:b w:val="0"/>
          <w:sz w:val="20"/>
        </w:rPr>
        <w:t>同事请假或轮岗时，至少交接下一次发报告的日期、已确认的口径、尚有分歧的数值和任务文件位置。比较复杂的查询可附一段文字说明表关联，不必把模型或程序的内部思考过程作为经营附件。接收人复核一张核心汇总表后再发布下一版，避免在未知范围上继续累加结论。</w:t>
      </w:r>
    </w:p>
    <w:p w14:paraId="2A08983C">
      <w:pPr>
        <w:pStyle w:val="3"/>
        <w:jc w:val="left"/>
      </w:pPr>
      <w:r>
        <w:rPr>
          <w:rFonts w:ascii="微软雅黑" w:hAnsi="微软雅黑" w:eastAsia="微软雅黑" w:cs="微软雅黑"/>
          <w:b/>
          <w:sz w:val="30"/>
        </w:rPr>
        <w:t>附件B 例会常见核对事项</w:t>
      </w:r>
    </w:p>
    <w:p w14:paraId="5A8F38F0">
      <w:pPr>
        <w:spacing w:after="140" w:line="300" w:lineRule="auto"/>
        <w:ind w:firstLine="312"/>
      </w:pPr>
      <w:r>
        <w:rPr>
          <w:rFonts w:ascii="微软雅黑" w:hAnsi="微软雅黑" w:eastAsia="微软雅黑" w:cs="微软雅黑"/>
          <w:b w:val="0"/>
          <w:sz w:val="20"/>
        </w:rPr>
        <w:t>“销售额增加但份额下降”先分别解释金额和份额，再查看其他品类是否增长更快。“订单增加但客单价下降”先用同范围订单明细核对两个指标，然后给出拆解，不立即归因于降价。“目标完成但客户变少”可以是真实发生的结构变化，继续看成交是否集中，而不是认为其中一个数值一定错误。</w:t>
      </w:r>
    </w:p>
    <w:p w14:paraId="6EAFED88">
      <w:pPr>
        <w:spacing w:after="140" w:line="300" w:lineRule="auto"/>
        <w:ind w:firstLine="312"/>
      </w:pPr>
      <w:r>
        <w:rPr>
          <w:rFonts w:ascii="微软雅黑" w:hAnsi="微软雅黑" w:eastAsia="微软雅黑" w:cs="微软雅黑"/>
          <w:b w:val="0"/>
          <w:sz w:val="20"/>
        </w:rPr>
        <w:t>当问题要播放热度、广告转化或毛利时，会议记录写明缺少的事件和字段。对于比较期不明确的任务，在需求记录补齐后再查。对于已经明确音频范围的问题，直接按音频计算；同一个会议不用逐页重复询问是否包含视频。</w:t>
      </w:r>
    </w:p>
    <w:p w14:paraId="19BB6AE3">
      <w:pPr>
        <w:spacing w:after="140" w:line="300" w:lineRule="auto"/>
        <w:ind w:firstLine="312"/>
      </w:pPr>
      <w:r>
        <w:rPr>
          <w:rFonts w:ascii="微软雅黑" w:hAnsi="微软雅黑" w:eastAsia="微软雅黑" w:cs="微软雅黑"/>
          <w:b w:val="0"/>
          <w:sz w:val="20"/>
        </w:rPr>
        <w:t>若收到只含一个数字的截图，先询问统计区间和来源，再决定能否用于报告。截图中小数位少不表示源金额只有同样精度，拿不到完整金额时应核对原表。在填写贡献率和达成率之前，优先确认分母究竟是本期总额、整体增量、季度目标还是截至当月累计计划。</w:t>
      </w:r>
    </w:p>
    <w:p w14:paraId="6ABCE7A2">
      <w:pPr>
        <w:spacing w:after="140" w:line="300" w:lineRule="auto"/>
        <w:ind w:firstLine="312"/>
      </w:pPr>
      <w:bookmarkStart w:id="0" w:name="_GoBack"/>
      <w:bookmarkEnd w:id="0"/>
    </w:p>
    <w:sectPr>
      <w:pgSz w:w="12240" w:h="15840"/>
      <w:pgMar w:top="1020" w:right="1191" w:bottom="1020"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CC1D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7254</Words>
  <Characters>7823</Characters>
  <Lines>0</Lines>
  <Paragraphs>0</Paragraphs>
  <TotalTime>1</TotalTime>
  <ScaleCrop>false</ScaleCrop>
  <LinksUpToDate>false</LinksUpToDate>
  <CharactersWithSpaces>7862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吕佳阳</cp:lastModifiedBy>
  <dcterms:modified xsi:type="dcterms:W3CDTF">2026-10-02T03:10:55Z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eyJoZGlkIjoiZTJiZDFhNGNmMGMzN2VmMTc5MjU4M2YyYTY3YWNiZjEiLCJ1c2VySWQiOiIxNzIxNjE4MjA2In0=</vt:lpwstr>
  </property>
  <property fmtid="{D5CDD505-2E9C-101B-9397-08002B2CF9AE}" pid="3" name="KSOProductBuildVer">
    <vt:lpwstr>2052-12.1.0.28043</vt:lpwstr>
  </property>
  <property fmtid="{D5CDD505-2E9C-101B-9397-08002B2CF9AE}" pid="4" name="ICV">
    <vt:lpwstr>62D273ADE86340A78396AB26B7B4BFDD_12</vt:lpwstr>
  </property>
</Properties>
</file>