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CAC1D">
      <w:pPr>
        <w:pStyle w:val="31"/>
        <w:jc w:val="center"/>
      </w:pPr>
      <w:r>
        <w:rPr>
          <w:rFonts w:ascii="微软雅黑" w:hAnsi="微软雅黑" w:eastAsia="微软雅黑" w:cs="微软雅黑"/>
          <w:b w:val="0"/>
          <w:sz w:val="44"/>
        </w:rPr>
        <w:t>客户分层与运营规则</w:t>
      </w:r>
    </w:p>
    <w:p w14:paraId="643253C2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2025年7月客户运营会上，客户支持提出客户名单越来越长、每周能联系的人有限的问题。经营分析提供购买金额和订单次数，客户支持补充触达状态，最后形成了下面四层工作名单</w:t>
      </w:r>
      <w:r>
        <w:rPr>
          <w:rFonts w:hint="eastAsia" w:cs="微软雅黑"/>
          <w:b w:val="0"/>
          <w:sz w:val="20"/>
          <w:lang w:eastAsia="zh-CN"/>
        </w:rPr>
        <w:t>，</w:t>
      </w:r>
      <w:r>
        <w:rPr>
          <w:rFonts w:ascii="微软雅黑" w:hAnsi="微软雅黑" w:eastAsia="微软雅黑" w:cs="微软雅黑"/>
          <w:b w:val="0"/>
          <w:sz w:val="20"/>
        </w:rPr>
        <w:t>用于安排时间和复盘顺序。</w:t>
      </w:r>
    </w:p>
    <w:p w14:paraId="5100B558">
      <w:pPr>
        <w:spacing w:after="140" w:line="300" w:lineRule="auto"/>
        <w:ind w:firstLine="312"/>
        <w:rPr>
          <w:rFonts w:ascii="微软雅黑" w:hAnsi="微软雅黑" w:eastAsia="微软雅黑" w:cs="微软雅黑"/>
          <w:b w:val="0"/>
          <w:sz w:val="20"/>
        </w:rPr>
      </w:pPr>
      <w:r>
        <w:rPr>
          <w:rFonts w:ascii="微软雅黑" w:hAnsi="微软雅黑" w:eastAsia="微软雅黑" w:cs="微软雅黑"/>
          <w:b w:val="0"/>
          <w:sz w:val="20"/>
        </w:rPr>
        <w:t xml:space="preserve">文档编号：CHN-CUST-TIER-04 版本：V1.0 生效日期：2025年7月1日 适用周期：2025年第三季度 牵头岗位：客户支持 </w:t>
      </w:r>
    </w:p>
    <w:p w14:paraId="49072C58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本规则说明商店如何把购买客户划分成不同维护层级，以及每一层在季度内应当安排哪些维护动作。季度目标和品类动作分别记录，分层结果主要用于客户联络和复盘排序。分层结果用于安排客户联络、推荐顺序和复盘观察，不用于给个人下达销售提成，也不改变已经下达的季度品类目标。</w:t>
      </w:r>
    </w:p>
    <w:p w14:paraId="2B9FE76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本规则适用于 Chinook 商店全部 59 位登记客户。分层只统计音频商品销售，媒体范围为 MediaTypeId 1、2、4、5；视频商品单独观察，不计入分层金额。时间筛选沿用 指标口径 的左闭右开区间，第三季度为 2025-07-01 至 2025-10-01。客户支持岗是分层结果的维护责任岗，经营分析岗负责提供计算所用的汇总数据，品类运营岗在准备推荐内容时采用分层结果，数据维护岗负责处理客户编号、分类和连接中出现的数据问题。各岗位采用分层结果时，应同时写清统计周期、音频范围和所用规则版本，避免把不同季度的分层名单混在一起使用。</w:t>
      </w:r>
    </w:p>
    <w:p w14:paraId="7D5640ED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一</w:t>
      </w:r>
      <w:r>
        <w:rPr>
          <w:rFonts w:ascii="微软雅黑" w:hAnsi="微软雅黑" w:eastAsia="微软雅黑" w:cs="微软雅黑"/>
          <w:b/>
          <w:sz w:val="30"/>
        </w:rPr>
        <w:t xml:space="preserve"> 为什么要做客户分层</w:t>
      </w:r>
    </w:p>
    <w:p w14:paraId="29D8ADAC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商店目前的客户数量不大，全部客户逐一维护并不现实，也没有必要。分层的目的是把有限的维护时间先用在最值得维护的客户身上，同时让每一次联络都有数据依据，而不是凭印象决定先联系谁。</w:t>
      </w:r>
    </w:p>
    <w:p w14:paraId="3435DD13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从二季度的情况看，18 位购买客户当季音频销售额从 0.99 美元到 15.84 美元不等，差距接近 16 倍；第三季度 19 位购买客户的当季销售额从 0.99 美元到 15.84 美元不等，结构类似。如果按同一频率维护所有客户，投入和贡献明显不匹配。分层之后，维护频率、推荐优先级和复盘关注度都可以按层级安排，季度复盘时也能直接看出销售主要来自哪一层。</w:t>
      </w:r>
    </w:p>
    <w:p w14:paraId="4FA6656A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需要说明的是，分层只反映客户在统计周期内的购买表现，不代表客户的重要性排序，也不作为客户等级对外展示。对外沟通中不提及内部分层名称。</w:t>
      </w:r>
    </w:p>
    <w:p w14:paraId="62DC2C60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二</w:t>
      </w:r>
      <w:r>
        <w:rPr>
          <w:rFonts w:ascii="微软雅黑" w:hAnsi="微软雅黑" w:eastAsia="微软雅黑" w:cs="微软雅黑"/>
          <w:b/>
          <w:sz w:val="30"/>
        </w:rPr>
        <w:t xml:space="preserve"> 分层计算口径</w:t>
      </w:r>
    </w:p>
    <w:p w14:paraId="53FB01C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分层金额按客户在统计周期内的音频销售额计算，即对该客户名下订单的订单明细求 SUM(InvoiceLine.UnitPrice * InvoiceLine.Quantity)。同一张订单包含多个商品时逐条累加；同一张订单同时包含音频和视频时，只取音频明细，不能直接使用 Invoice.Total。订单数按 InvoiceId 去重计数，购买件数按 Quantity 累加，这两个指标用于辅助判断，不单独决定层级。</w:t>
      </w:r>
    </w:p>
    <w:p w14:paraId="60FB8682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统计周期默认使用完整季度。季度分层在季度结束后计算，第三季度名单应在 2025-10-08 数据核对完成前定稿。月中和周度检查可以使用截至当日的累计值做过程观察，但不据此正式调整客户层级。</w:t>
      </w:r>
    </w:p>
    <w:p w14:paraId="23688CD5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客户当季没有音频购买记录时，不进入 A、B、C 三个活跃层级，按第五章的沉睡和长期未购口径处理。新登记但尚未购买的客户暂不进入分层名单，由客户支持岗在首次购买发生后的下一个季度核算时纳入。</w:t>
      </w:r>
    </w:p>
    <w:p w14:paraId="374249F3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三</w:t>
      </w:r>
      <w:r>
        <w:rPr>
          <w:rFonts w:ascii="微软雅黑" w:hAnsi="微软雅黑" w:eastAsia="微软雅黑" w:cs="微软雅黑"/>
          <w:b/>
          <w:sz w:val="30"/>
        </w:rPr>
        <w:t xml:space="preserve"> 活跃客户层级定义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2"/>
      </w:tblGrid>
      <w:tr w14:paraId="44ED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6848AAC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层级</w:t>
            </w:r>
          </w:p>
        </w:tc>
        <w:tc>
          <w:tcPr>
            <w:tcW w:w="1972" w:type="dxa"/>
          </w:tcPr>
          <w:p w14:paraId="36088B3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名称</w:t>
            </w:r>
          </w:p>
        </w:tc>
        <w:tc>
          <w:tcPr>
            <w:tcW w:w="1972" w:type="dxa"/>
          </w:tcPr>
          <w:p w14:paraId="7014747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当季音频销售额 美元</w:t>
            </w:r>
          </w:p>
        </w:tc>
        <w:tc>
          <w:tcPr>
            <w:tcW w:w="1972" w:type="dxa"/>
          </w:tcPr>
          <w:p w14:paraId="55012E2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辅助观察</w:t>
            </w:r>
          </w:p>
        </w:tc>
        <w:tc>
          <w:tcPr>
            <w:tcW w:w="1972" w:type="dxa"/>
          </w:tcPr>
          <w:p w14:paraId="4E46F4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第三季度人数</w:t>
            </w:r>
          </w:p>
        </w:tc>
      </w:tr>
      <w:tr w14:paraId="59E3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00E4007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</w:t>
            </w:r>
          </w:p>
        </w:tc>
        <w:tc>
          <w:tcPr>
            <w:tcW w:w="1972" w:type="dxa"/>
          </w:tcPr>
          <w:p w14:paraId="3C6798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重点维护</w:t>
            </w:r>
          </w:p>
        </w:tc>
        <w:tc>
          <w:tcPr>
            <w:tcW w:w="1972" w:type="dxa"/>
          </w:tcPr>
          <w:p w14:paraId="760BAB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大于等于 12.00</w:t>
            </w:r>
          </w:p>
        </w:tc>
        <w:tc>
          <w:tcPr>
            <w:tcW w:w="1972" w:type="dxa"/>
          </w:tcPr>
          <w:p w14:paraId="19A119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订单数、件数、品类集中度</w:t>
            </w:r>
          </w:p>
        </w:tc>
        <w:tc>
          <w:tcPr>
            <w:tcW w:w="1972" w:type="dxa"/>
          </w:tcPr>
          <w:p w14:paraId="5A7047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</w:tr>
      <w:tr w14:paraId="61BA7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5C77534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B</w:t>
            </w:r>
          </w:p>
        </w:tc>
        <w:tc>
          <w:tcPr>
            <w:tcW w:w="1972" w:type="dxa"/>
          </w:tcPr>
          <w:p w14:paraId="4790D9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常规维护</w:t>
            </w:r>
          </w:p>
        </w:tc>
        <w:tc>
          <w:tcPr>
            <w:tcW w:w="1972" w:type="dxa"/>
          </w:tcPr>
          <w:p w14:paraId="692534E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5.00 至 12.00 以下</w:t>
            </w:r>
          </w:p>
        </w:tc>
        <w:tc>
          <w:tcPr>
            <w:tcW w:w="1972" w:type="dxa"/>
          </w:tcPr>
          <w:p w14:paraId="53B8FDD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订单数、复购间隔</w:t>
            </w:r>
          </w:p>
        </w:tc>
        <w:tc>
          <w:tcPr>
            <w:tcW w:w="1972" w:type="dxa"/>
          </w:tcPr>
          <w:p w14:paraId="1B0FBB0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</w:tr>
      <w:tr w14:paraId="29CC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3690170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C</w:t>
            </w:r>
          </w:p>
        </w:tc>
        <w:tc>
          <w:tcPr>
            <w:tcW w:w="1972" w:type="dxa"/>
          </w:tcPr>
          <w:p w14:paraId="0D790C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基础服务</w:t>
            </w:r>
          </w:p>
        </w:tc>
        <w:tc>
          <w:tcPr>
            <w:tcW w:w="1972" w:type="dxa"/>
          </w:tcPr>
          <w:p w14:paraId="2835349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 以上至 5.00 以下</w:t>
            </w:r>
          </w:p>
        </w:tc>
        <w:tc>
          <w:tcPr>
            <w:tcW w:w="1972" w:type="dxa"/>
          </w:tcPr>
          <w:p w14:paraId="34D9446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是否首次购买</w:t>
            </w:r>
          </w:p>
        </w:tc>
        <w:tc>
          <w:tcPr>
            <w:tcW w:w="1972" w:type="dxa"/>
          </w:tcPr>
          <w:p w14:paraId="050F16D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</w:t>
            </w:r>
          </w:p>
        </w:tc>
      </w:tr>
    </w:tbl>
    <w:p w14:paraId="1F6BA326"/>
    <w:p w14:paraId="3A97C81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A 层阈值 12.00 美元取自近两年季度数据的分布观察：多数季度中，达到该金额的客户数量在 1 至 3 位之间，既能覆盖贡献最大的客户，又不至于让重点维护名单过长。第三季度达到 A 层的 3 位客户合计贡献 45.54 美元，约占当季音频销售额 112.86 美元的 40.4%。</w:t>
      </w:r>
    </w:p>
    <w:p w14:paraId="78B59783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B 层客户当季有一定贡献但金额不高，是下一季度最可能向 A 层移动的人群。第三季度 B 层 6 位客户合计贡献 44.55 美元。C 层客户当季购买金额较小，多数为单张订单，维护上以保障服务质量为主，不做高频推销。</w:t>
      </w:r>
    </w:p>
    <w:p w14:paraId="2C6B28EA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升级条件：B 层客户当季订单数达到 2 张及以上时，可在季度核算时升列为 A 层观察对象，经客户支持岗确认后进入 A 层名单。该条件用于识别金额尚未达到阈值但购买频次明显活跃的客户。降级按当季金额自然落层，不另设保护期；连续两个季度在 B、C 之间往返的客户，由客户支持岗在复盘中标注，观察是否需要单独维护安排。</w:t>
      </w:r>
    </w:p>
    <w:p w14:paraId="71946A81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四</w:t>
      </w:r>
      <w:r>
        <w:rPr>
          <w:rFonts w:ascii="微软雅黑" w:hAnsi="微软雅黑" w:eastAsia="微软雅黑" w:cs="微软雅黑"/>
          <w:b/>
          <w:sz w:val="30"/>
        </w:rPr>
        <w:t xml:space="preserve"> 非活跃客户口径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1DBC8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675F340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口径</w:t>
            </w:r>
          </w:p>
        </w:tc>
        <w:tc>
          <w:tcPr>
            <w:tcW w:w="3286" w:type="dxa"/>
          </w:tcPr>
          <w:p w14:paraId="06C3A3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定义</w:t>
            </w:r>
          </w:p>
        </w:tc>
        <w:tc>
          <w:tcPr>
            <w:tcW w:w="3286" w:type="dxa"/>
          </w:tcPr>
          <w:p w14:paraId="2A24A8A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第三季度情况</w:t>
            </w:r>
          </w:p>
        </w:tc>
      </w:tr>
      <w:tr w14:paraId="2F24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1FFB9E3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沉睡客户</w:t>
            </w:r>
          </w:p>
        </w:tc>
        <w:tc>
          <w:tcPr>
            <w:tcW w:w="3286" w:type="dxa"/>
          </w:tcPr>
          <w:p w14:paraId="762934D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当季无音频购买，但此前四个季度内有过音频购买</w:t>
            </w:r>
          </w:p>
        </w:tc>
        <w:tc>
          <w:tcPr>
            <w:tcW w:w="3286" w:type="dxa"/>
          </w:tcPr>
          <w:p w14:paraId="1603BFC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31 位</w:t>
            </w:r>
          </w:p>
        </w:tc>
      </w:tr>
      <w:tr w14:paraId="29FA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3D36B5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长期未购客户</w:t>
            </w:r>
          </w:p>
        </w:tc>
        <w:tc>
          <w:tcPr>
            <w:tcW w:w="3286" w:type="dxa"/>
          </w:tcPr>
          <w:p w14:paraId="6D5BB97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最近一次音频购买在 2024-07-01 之前，且当季无购买</w:t>
            </w:r>
          </w:p>
        </w:tc>
        <w:tc>
          <w:tcPr>
            <w:tcW w:w="3286" w:type="dxa"/>
          </w:tcPr>
          <w:p w14:paraId="1C88B81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9 位</w:t>
            </w:r>
          </w:p>
        </w:tc>
      </w:tr>
    </w:tbl>
    <w:p w14:paraId="44FEB0AF"/>
    <w:p w14:paraId="5B81A4DD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沉睡客户名单按滚动四个季度窗口计算，窗口与本规则其他部分一致，使用左闭右开区间。第三季度沉睡客户 31 位，指在 2024-07-01 至 2025-07-01 期间有过音频购买、但在第三季度没有购买的客户。这部分客户是下一季度唤醒动作的主要对象。</w:t>
      </w:r>
    </w:p>
    <w:p w14:paraId="519DD5A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长期未购客户截至第三季度共 9 位，包括客户 19（Tim Goyer，最近购买 2024-01-24）、客户 38（Niklas Schröder，最近购买 2024-06-30）、客户 59（Puja Srivastava，最近购买 2024-05-30）等。该名单每年复核一次，平时不做高频联络。</w:t>
      </w:r>
    </w:p>
    <w:p w14:paraId="6DC830BA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回流客户指此前至少一个季度没有购买、当季重新产生音频购买的客户。第三季度回流客户 6 位：客户 8、10、25、27、46、48，其中客户 10（Eduardo Martins）最近一次购买在 2024-01-09，客户 48（Johannes Van der Berg）在 2024-02-09。回流客户当季按实际金额落层，同时在周报中单独标注，便于复盘时观察唤醒动作是否有效。</w:t>
      </w:r>
    </w:p>
    <w:p w14:paraId="6D76B62C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五</w:t>
      </w:r>
      <w:r>
        <w:rPr>
          <w:rFonts w:ascii="微软雅黑" w:hAnsi="微软雅黑" w:eastAsia="微软雅黑" w:cs="微软雅黑"/>
          <w:b/>
          <w:sz w:val="30"/>
        </w:rPr>
        <w:t xml:space="preserve"> 各层级维护动作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D02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299E1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层级</w:t>
            </w:r>
          </w:p>
        </w:tc>
        <w:tc>
          <w:tcPr>
            <w:tcW w:w="2464" w:type="dxa"/>
          </w:tcPr>
          <w:p w14:paraId="23F1FD2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联络频率</w:t>
            </w:r>
          </w:p>
        </w:tc>
        <w:tc>
          <w:tcPr>
            <w:tcW w:w="2464" w:type="dxa"/>
          </w:tcPr>
          <w:p w14:paraId="549C41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主要动作</w:t>
            </w:r>
          </w:p>
        </w:tc>
        <w:tc>
          <w:tcPr>
            <w:tcW w:w="2464" w:type="dxa"/>
          </w:tcPr>
          <w:p w14:paraId="46D03D4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记录要求</w:t>
            </w:r>
          </w:p>
        </w:tc>
      </w:tr>
      <w:tr w14:paraId="05EE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CBE4F3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 重点维护</w:t>
            </w:r>
          </w:p>
        </w:tc>
        <w:tc>
          <w:tcPr>
            <w:tcW w:w="2464" w:type="dxa"/>
          </w:tcPr>
          <w:p w14:paraId="4FEB8D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每月至少一次</w:t>
            </w:r>
          </w:p>
        </w:tc>
        <w:tc>
          <w:tcPr>
            <w:tcW w:w="2464" w:type="dxa"/>
          </w:tcPr>
          <w:p w14:paraId="448979F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定向推荐、优先响应、季度复盘重点关注</w:t>
            </w:r>
          </w:p>
        </w:tc>
        <w:tc>
          <w:tcPr>
            <w:tcW w:w="2464" w:type="dxa"/>
          </w:tcPr>
          <w:p w14:paraId="213B3A4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每次联络记录日期、品类、状态</w:t>
            </w:r>
          </w:p>
        </w:tc>
      </w:tr>
      <w:tr w14:paraId="0D683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69A62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B 常规维护</w:t>
            </w:r>
          </w:p>
        </w:tc>
        <w:tc>
          <w:tcPr>
            <w:tcW w:w="2464" w:type="dxa"/>
          </w:tcPr>
          <w:p w14:paraId="03A4C23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每季度至少一次</w:t>
            </w:r>
          </w:p>
        </w:tc>
        <w:tc>
          <w:tcPr>
            <w:tcW w:w="2464" w:type="dxa"/>
          </w:tcPr>
          <w:p w14:paraId="2A356D0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按已购品类推荐、关注升级条件</w:t>
            </w:r>
          </w:p>
        </w:tc>
        <w:tc>
          <w:tcPr>
            <w:tcW w:w="2464" w:type="dxa"/>
          </w:tcPr>
          <w:p w14:paraId="21EB4B2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记录联系状态和下一步</w:t>
            </w:r>
          </w:p>
        </w:tc>
      </w:tr>
      <w:tr w14:paraId="1049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A66ABB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C 基础服务</w:t>
            </w:r>
          </w:p>
        </w:tc>
        <w:tc>
          <w:tcPr>
            <w:tcW w:w="2464" w:type="dxa"/>
          </w:tcPr>
          <w:p w14:paraId="3160828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被动响应为主</w:t>
            </w:r>
          </w:p>
        </w:tc>
        <w:tc>
          <w:tcPr>
            <w:tcW w:w="2464" w:type="dxa"/>
          </w:tcPr>
          <w:p w14:paraId="69559A7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保障咨询和售后质量，不强推</w:t>
            </w:r>
          </w:p>
        </w:tc>
        <w:tc>
          <w:tcPr>
            <w:tcW w:w="2464" w:type="dxa"/>
          </w:tcPr>
          <w:p w14:paraId="77DF3C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有联络时照常记录</w:t>
            </w:r>
          </w:p>
        </w:tc>
      </w:tr>
      <w:tr w14:paraId="0F5B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0F9AE8A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沉睡客户</w:t>
            </w:r>
          </w:p>
        </w:tc>
        <w:tc>
          <w:tcPr>
            <w:tcW w:w="2464" w:type="dxa"/>
          </w:tcPr>
          <w:p w14:paraId="14BC3AE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每季度一次唤醒尝试</w:t>
            </w:r>
          </w:p>
        </w:tc>
        <w:tc>
          <w:tcPr>
            <w:tcW w:w="2464" w:type="dxa"/>
          </w:tcPr>
          <w:p w14:paraId="556DE65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结合历史购买品类做一次性触达</w:t>
            </w:r>
          </w:p>
        </w:tc>
        <w:tc>
          <w:tcPr>
            <w:tcW w:w="2464" w:type="dxa"/>
          </w:tcPr>
          <w:p w14:paraId="0CC578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记录是否触达和结果</w:t>
            </w:r>
          </w:p>
        </w:tc>
      </w:tr>
      <w:tr w14:paraId="27066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A1B1A4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长期未购客户</w:t>
            </w:r>
          </w:p>
        </w:tc>
        <w:tc>
          <w:tcPr>
            <w:tcW w:w="2464" w:type="dxa"/>
          </w:tcPr>
          <w:p w14:paraId="7F97712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每年复核一次</w:t>
            </w:r>
          </w:p>
        </w:tc>
        <w:tc>
          <w:tcPr>
            <w:tcW w:w="2464" w:type="dxa"/>
          </w:tcPr>
          <w:p w14:paraId="3A5822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核对联系方式是否有效</w:t>
            </w:r>
          </w:p>
        </w:tc>
        <w:tc>
          <w:tcPr>
            <w:tcW w:w="2464" w:type="dxa"/>
          </w:tcPr>
          <w:p w14:paraId="6DC310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仅记录复核结果</w:t>
            </w:r>
          </w:p>
        </w:tc>
      </w:tr>
    </w:tbl>
    <w:p w14:paraId="45D95466"/>
    <w:p w14:paraId="1EBD7725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A 层客户的定向推荐应围绕其已购品类展开。第三季度 A 层 3 位客户的购买结构分别是：客户 10 以 Rock 为主（9.90 美元，10 件），客户 48 以 Rock 为主（13.86 美元，14 件），客户 31 以 Metal 和 Latin 为主（Metal 4.95 美元、Latin 2.97 美元）。推荐内容采用 品类手册 的品类运营动作，推荐清单注明商品编号、专辑和价格。</w:t>
      </w:r>
    </w:p>
    <w:p w14:paraId="7FA238DA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B 层客户的推荐以复购和品类延伸为主。第三季度 B 层中，客户 1、22、39 当季各有一张 8.91 美元、9 件的订单，件数接近 A 层但金额未达阈值，客户支持岗在联络时可顺带了解其购买偏好是否集中。客户 16、33、54 当季各为 5.94 美元、6 件，且三位在第二季度也各有 3.96 美元购买，属于连续两季购买，适合安排品类延伸推荐。</w:t>
      </w:r>
    </w:p>
    <w:p w14:paraId="442DAAD0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C 层客户不做主动高频联络。当季 C 层 10 位客户中多数为单张小额订单，维护重点是保证咨询响应质量。若 C 层客户当季订单数达到 2 张，按第四章升级条件处理。</w:t>
      </w:r>
    </w:p>
    <w:p w14:paraId="008B2E84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沉睡客户的唤醒尝试每季度安排一次即可，触达内容结合其历史购买品类，不重复发送相同内容。连续两个季度唤醒无回应时，转入下一季度再安排，不连续追发。长期未购客户仅在年度复核时核对联系方式，平时不主动联络。</w:t>
      </w:r>
    </w:p>
    <w:p w14:paraId="79E8A607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六</w:t>
      </w:r>
      <w:r>
        <w:rPr>
          <w:rFonts w:ascii="微软雅黑" w:hAnsi="微软雅黑" w:eastAsia="微软雅黑" w:cs="微软雅黑"/>
          <w:b/>
          <w:sz w:val="30"/>
        </w:rPr>
        <w:t xml:space="preserve"> 分层计算流程</w:t>
      </w:r>
    </w:p>
    <w:p w14:paraId="0EE70F84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1. 季度结束后，由经营分析岗按客户编号汇总当季音频销售额、销量和订单数，筛选条件写明音频媒体范围和左闭右开日期区间。 2. 客户支持岗按第四章阈值落层，检查 B 层中是否有满足升级条件的客户，整理沉睡和长期未购名单。 3. 分层名单与客户编号、当季金额、层级、支持负责人一并登记，文件命名采用“周期_客户分层_版本”格式，例如 2025Q3_客户分层_V1.0。 4. 名单在季度复盘会上过一遍，确认无客户编号重复、无金额与层级不符的情况后定稿。 5. 定稿后的名单供品类运营准备推荐内容、客户支持安排联络使用；对名单的修改需保留旧版并记录修改原因。</w:t>
      </w:r>
    </w:p>
    <w:p w14:paraId="7E285199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计算过程中若发现同一客户编号出现在两个层级，先核对是否混用了不同统计周期；若发现金额与层级不符，先核对音频范围和日期区间是否一致。核对顺序与 品类手册 异常处理章节保持一致。</w:t>
      </w:r>
    </w:p>
    <w:p w14:paraId="41581A58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七</w:t>
      </w:r>
      <w:r>
        <w:rPr>
          <w:rFonts w:ascii="微软雅黑" w:hAnsi="微软雅黑" w:eastAsia="微软雅黑" w:cs="微软雅黑"/>
          <w:b/>
          <w:sz w:val="30"/>
        </w:rPr>
        <w:t xml:space="preserve"> 第三季度分层结果示例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E6AC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7B6559E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层级</w:t>
            </w:r>
          </w:p>
        </w:tc>
        <w:tc>
          <w:tcPr>
            <w:tcW w:w="2464" w:type="dxa"/>
          </w:tcPr>
          <w:p w14:paraId="5C65D7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客户编号</w:t>
            </w:r>
          </w:p>
        </w:tc>
        <w:tc>
          <w:tcPr>
            <w:tcW w:w="2464" w:type="dxa"/>
          </w:tcPr>
          <w:p w14:paraId="01595E8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当季音频销售额 美元</w:t>
            </w:r>
          </w:p>
        </w:tc>
        <w:tc>
          <w:tcPr>
            <w:tcW w:w="2464" w:type="dxa"/>
          </w:tcPr>
          <w:p w14:paraId="77A2258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支持负责人</w:t>
            </w:r>
          </w:p>
        </w:tc>
      </w:tr>
      <w:tr w14:paraId="5227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10CE493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 重点维护</w:t>
            </w:r>
          </w:p>
        </w:tc>
        <w:tc>
          <w:tcPr>
            <w:tcW w:w="2464" w:type="dxa"/>
          </w:tcPr>
          <w:p w14:paraId="251B0A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10、31、48</w:t>
            </w:r>
          </w:p>
        </w:tc>
        <w:tc>
          <w:tcPr>
            <w:tcW w:w="2464" w:type="dxa"/>
          </w:tcPr>
          <w:p w14:paraId="6E2434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15.84、13.86、15.84</w:t>
            </w:r>
          </w:p>
        </w:tc>
        <w:tc>
          <w:tcPr>
            <w:tcW w:w="2464" w:type="dxa"/>
          </w:tcPr>
          <w:p w14:paraId="0D82F0E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Margaret Park、Steve Johnson、Steve Johnson</w:t>
            </w:r>
          </w:p>
        </w:tc>
      </w:tr>
      <w:tr w14:paraId="0D33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0C67D6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B 常规维护</w:t>
            </w:r>
          </w:p>
        </w:tc>
        <w:tc>
          <w:tcPr>
            <w:tcW w:w="2464" w:type="dxa"/>
          </w:tcPr>
          <w:p w14:paraId="7877230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1、22、39、16、33、54</w:t>
            </w:r>
          </w:p>
        </w:tc>
        <w:tc>
          <w:tcPr>
            <w:tcW w:w="2464" w:type="dxa"/>
          </w:tcPr>
          <w:p w14:paraId="4C19C2D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8.91、8.91、8.91、5.94、5.94、5.94</w:t>
            </w:r>
          </w:p>
        </w:tc>
        <w:tc>
          <w:tcPr>
            <w:tcW w:w="2464" w:type="dxa"/>
          </w:tcPr>
          <w:p w14:paraId="102D9A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Jane Peacock、Margaret Park、Margaret Park、Margaret Park、Jane Peacock、Steve Johnson</w:t>
            </w:r>
          </w:p>
        </w:tc>
      </w:tr>
      <w:tr w14:paraId="214E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7EF010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C 基础服务</w:t>
            </w:r>
          </w:p>
        </w:tc>
        <w:tc>
          <w:tcPr>
            <w:tcW w:w="2464" w:type="dxa"/>
          </w:tcPr>
          <w:p w14:paraId="40BCF11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12、29、50、8、25、27、46、3、24、45</w:t>
            </w:r>
          </w:p>
        </w:tc>
        <w:tc>
          <w:tcPr>
            <w:tcW w:w="2464" w:type="dxa"/>
          </w:tcPr>
          <w:p w14:paraId="5D1FCC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3.96、3.96、3.96、1.98、1.98、1.98、1.98、0.99、0.99、0.99</w:t>
            </w:r>
          </w:p>
        </w:tc>
        <w:tc>
          <w:tcPr>
            <w:tcW w:w="2464" w:type="dxa"/>
          </w:tcPr>
          <w:p w14:paraId="44F4CB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Jane Peacock、Jane Peacock、Steve Johnson、Margaret Park、Steve Johnson、Margaret Park、Jane Peacock、Jane Peacock、Jane Peacock、Jane Peacock</w:t>
            </w:r>
          </w:p>
        </w:tc>
      </w:tr>
    </w:tbl>
    <w:p w14:paraId="347D2F23"/>
    <w:p w14:paraId="08A9F0BD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第三季度共 19 位客户产生音频购买，当季音频销售额合计 112.86 美元、销量 114 件、订单 21 张，客单价 5.37 美元。A 层 3 位客户贡献 45.54 美元，B 层 6 位贡献 44.55 美元，C 层 10 位贡献 22.77 美元。</w:t>
      </w:r>
    </w:p>
    <w:p w14:paraId="7133B3A2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客户 31（Martha Silk）第二季度音频购买为 1.98 美元，属 C 层；第三季度购买 13.86 美元，升列为 A 层。该客户是跨层移动的典型案例，季度复盘时应单独说明其购买结构变化。回流客户 8、10、25、27、46、48 当季均已按实际金额落层，其中客户 10、48 进入 A 层。</w:t>
      </w:r>
    </w:p>
    <w:p w14:paraId="738694E0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八</w:t>
      </w:r>
      <w:r>
        <w:rPr>
          <w:rFonts w:ascii="微软雅黑" w:hAnsi="微软雅黑" w:eastAsia="微软雅黑" w:cs="微软雅黑"/>
          <w:b/>
          <w:sz w:val="30"/>
        </w:rPr>
        <w:t xml:space="preserve"> 与支持负责人的关系</w:t>
      </w:r>
    </w:p>
    <w:p w14:paraId="4B93607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Customer 表的 SupportRepId 表示客户的支持负责人，用于安排联络和核对，不作为销售归属或个人提成依据。第三季度 19 位购买客户的支持负责人分布为：Jane Peacock 8 位、Margaret Park 6 位、Steve Johnson 5 位。这一分布仅用于分配维护工作量，不解释为某位员工促成了对应客户的订单。</w:t>
      </w:r>
    </w:p>
    <w:p w14:paraId="760EE3B5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经营汇总中优先使用客户编号和层级，例会需要查看具体订单时再打开明细。联络记录至少包含日期、层级、客户编号范围、处理状态和下一步；没有联络结果时标记为待核对，不把“客户过去购买过”写成“客户已经接受本次推荐”。</w:t>
      </w:r>
    </w:p>
    <w:p w14:paraId="0D8FD86B">
      <w:pPr>
        <w:pStyle w:val="3"/>
        <w:jc w:val="left"/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九</w:t>
      </w:r>
      <w:r>
        <w:rPr>
          <w:rFonts w:ascii="微软雅黑" w:hAnsi="微软雅黑" w:eastAsia="微软雅黑" w:cs="微软雅黑"/>
          <w:b/>
          <w:sz w:val="30"/>
        </w:rPr>
        <w:t xml:space="preserve"> 地区与口径说明</w:t>
      </w:r>
    </w:p>
    <w:p w14:paraId="70040379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分层金额按订单账单地区统计，与客户登记的国家可能不同。第三季度经核对，全部订单的账单国家与客户登记国家一致，未出现需要单独说明的情况；后续若出现不一致，按 指标口径 地区口径在答案中写清使用的是账单地区还是客户所在地。</w:t>
      </w:r>
    </w:p>
    <w:p w14:paraId="03DB9CD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本规则不回答成本、利润、退款、库存、广告投放和播放量相关的问题。涉及这些内容时，说明当前数据不支持，并指出需要补充的数据字段，不用本规则补造结论。</w:t>
      </w:r>
    </w:p>
    <w:p w14:paraId="09DA01CD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十 版本和归档</w:t>
      </w:r>
    </w:p>
    <w:p w14:paraId="7ABE49AA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本规则 V1.0 自 2025 年 7 月 1 日起适用于第三季度。改变层级阈值、统计口径或维护动作时，先更新本规则和目录元数据，再修改查询说明；只改变措辞而不改变规则的修改，可以增加修订说明。</w:t>
      </w:r>
    </w:p>
    <w:p w14:paraId="4FB8BF19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归档包至少包含本规则、当季分层名单、查询文件、联络记录汇总和版本记录。归档前检查文件可打开、名单与规则版本一致、来源位置存在。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2"/>
      </w:tblGrid>
      <w:tr w14:paraId="799A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7959C5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版本</w:t>
            </w:r>
          </w:p>
        </w:tc>
        <w:tc>
          <w:tcPr>
            <w:tcW w:w="1972" w:type="dxa"/>
          </w:tcPr>
          <w:p w14:paraId="0B1A28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生效日期</w:t>
            </w:r>
          </w:p>
        </w:tc>
        <w:tc>
          <w:tcPr>
            <w:tcW w:w="1972" w:type="dxa"/>
          </w:tcPr>
          <w:p w14:paraId="6FBAC6B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主要变化</w:t>
            </w:r>
          </w:p>
        </w:tc>
        <w:tc>
          <w:tcPr>
            <w:tcW w:w="1972" w:type="dxa"/>
          </w:tcPr>
          <w:p w14:paraId="543A84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编制</w:t>
            </w:r>
          </w:p>
        </w:tc>
        <w:tc>
          <w:tcPr>
            <w:tcW w:w="1972" w:type="dxa"/>
          </w:tcPr>
          <w:p w14:paraId="2C7414D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审核</w:t>
            </w:r>
          </w:p>
        </w:tc>
      </w:tr>
      <w:tr w14:paraId="3EA9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11D29C0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V0.9</w:t>
            </w:r>
          </w:p>
        </w:tc>
        <w:tc>
          <w:tcPr>
            <w:tcW w:w="1972" w:type="dxa"/>
          </w:tcPr>
          <w:p w14:paraId="59789C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2025-04-01</w:t>
            </w:r>
          </w:p>
        </w:tc>
        <w:tc>
          <w:tcPr>
            <w:tcW w:w="1972" w:type="dxa"/>
          </w:tcPr>
          <w:p w14:paraId="5C3D06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二季度内部试行版，仅分 A、B、C 三层</w:t>
            </w:r>
          </w:p>
        </w:tc>
        <w:tc>
          <w:tcPr>
            <w:tcW w:w="1972" w:type="dxa"/>
          </w:tcPr>
          <w:p w14:paraId="07641C5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客户支持岗</w:t>
            </w:r>
          </w:p>
        </w:tc>
        <w:tc>
          <w:tcPr>
            <w:tcW w:w="1972" w:type="dxa"/>
          </w:tcPr>
          <w:p w14:paraId="5A93698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经营分析岗</w:t>
            </w:r>
          </w:p>
        </w:tc>
      </w:tr>
      <w:tr w14:paraId="1DEF2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3C723FD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V1.0</w:t>
            </w:r>
          </w:p>
        </w:tc>
        <w:tc>
          <w:tcPr>
            <w:tcW w:w="1972" w:type="dxa"/>
          </w:tcPr>
          <w:p w14:paraId="0AE1886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2025-07-01</w:t>
            </w:r>
          </w:p>
        </w:tc>
        <w:tc>
          <w:tcPr>
            <w:tcW w:w="1972" w:type="dxa"/>
          </w:tcPr>
          <w:p w14:paraId="570C7BD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增加沉睡和长期未购口径，明确音频范围和升级条件，补充第三季度示例</w:t>
            </w:r>
          </w:p>
        </w:tc>
        <w:tc>
          <w:tcPr>
            <w:tcW w:w="1972" w:type="dxa"/>
          </w:tcPr>
          <w:p w14:paraId="1D73CC1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客户支持岗</w:t>
            </w:r>
          </w:p>
        </w:tc>
        <w:tc>
          <w:tcPr>
            <w:tcW w:w="1972" w:type="dxa"/>
          </w:tcPr>
          <w:p w14:paraId="65325F2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业务负责人</w:t>
            </w:r>
          </w:p>
        </w:tc>
      </w:tr>
    </w:tbl>
    <w:p w14:paraId="332E12F9"/>
    <w:p w14:paraId="4F8DD09F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附件 会议记录示例</w:t>
      </w:r>
    </w:p>
    <w:p w14:paraId="069FF05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会议日期：2025年10月9日 会议主题：第三季度客户分层核算与第四季度维护安排 参与岗位：客户支持、经营分析、品类运营、数据维护</w:t>
      </w:r>
    </w:p>
    <w:p w14:paraId="42BC28E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本次先核对第三季度音频范围和分层名单，再讨论第四季度安排。A 层 3 位客户中，客户 31 为当季新升列，品类运营在准备 Metal 和 Latin 推荐内容时优先覆盖；客户 10、48 为回流客户，联络记录中已标注回流状态。B 层客户 16、33、54 连续两季购买，安排品类延伸推荐。沉睡客户 31 位的唤醒尝试在第四季度第一周集中安排一次，不连续追发。以上事项在周报中列为待办，未将会议讨论直接写成分层规则变更。</w:t>
      </w:r>
    </w:p>
    <w:p w14:paraId="6271590B">
      <w:pPr>
        <w:spacing w:after="140" w:line="300" w:lineRule="auto"/>
        <w:ind w:firstLine="312"/>
      </w:pPr>
      <w:bookmarkStart w:id="0" w:name="_GoBack"/>
      <w:bookmarkEnd w:id="0"/>
    </w:p>
    <w:sectPr>
      <w:pgSz w:w="12240" w:h="15840"/>
      <w:pgMar w:top="1020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8E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4729</Words>
  <Characters>5558</Characters>
  <Lines>0</Lines>
  <Paragraphs>0</Paragraphs>
  <TotalTime>2</TotalTime>
  <ScaleCrop>false</ScaleCrop>
  <LinksUpToDate>false</LinksUpToDate>
  <CharactersWithSpaces>5881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吕佳阳</cp:lastModifiedBy>
  <dcterms:modified xsi:type="dcterms:W3CDTF">2026-10-02T03:16:52Z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eyJoZGlkIjoiZTJiZDFhNGNmMGMzN2VmMTc5MjU4M2YyYTY3YWNiZjEiLCJ1c2VySWQiOiIxNzIxNjE4MjA2In0=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4984C8BFCD974608BD6A19227CFFC39A_12</vt:lpwstr>
  </property>
</Properties>
</file>