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C1F83">
      <w:pPr>
        <w:pStyle w:val="31"/>
        <w:jc w:val="center"/>
      </w:pPr>
      <w:r>
        <w:rPr>
          <w:rFonts w:ascii="微软雅黑" w:hAnsi="微软雅黑" w:eastAsia="微软雅黑" w:cs="微软雅黑"/>
          <w:b w:val="0"/>
          <w:sz w:val="44"/>
        </w:rPr>
        <w:t>重点音乐品类运营手册</w:t>
      </w:r>
    </w:p>
    <w:p w14:paraId="2D238FD2">
      <w:pPr>
        <w:spacing w:after="140" w:line="300" w:lineRule="auto"/>
        <w:ind w:firstLine="312"/>
        <w:rPr>
          <w:rFonts w:ascii="微软雅黑" w:hAnsi="微软雅黑" w:eastAsia="微软雅黑" w:cs="微软雅黑"/>
          <w:b w:val="0"/>
          <w:sz w:val="20"/>
        </w:rPr>
      </w:pPr>
      <w:r>
        <w:rPr>
          <w:rFonts w:ascii="微软雅黑" w:hAnsi="微软雅黑" w:eastAsia="微软雅黑" w:cs="微软雅黑"/>
          <w:b w:val="0"/>
          <w:sz w:val="20"/>
        </w:rPr>
        <w:t xml:space="preserve">文档编号：CHN-MKT-OP-09 版本：V1.0 生效日期：2025年7月1日 适用周期：2025年第三季度 </w:t>
      </w:r>
    </w:p>
    <w:p w14:paraId="246AAE3E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 xml:space="preserve">岗位：品类运营 </w:t>
      </w:r>
    </w:p>
    <w:p w14:paraId="250A118D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这本手册主要给 Rock、Metal、Latin 三个重点音乐品类的日常运营、目标跟踪、内容维护和季度复盘。季度目标和品类动作分别记录，手册主要用于日常执行。手册中的动作建议要先结合实际销售额、销量、订单数和购买客户数，再决定是否执行。</w:t>
      </w:r>
    </w:p>
    <w:p w14:paraId="79905DB5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一 使用范围和工作原则</w:t>
      </w:r>
    </w:p>
    <w:p w14:paraId="4D50B5AE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本手册覆盖专题陈列、商品组合、客户推荐、周报和季度复盘。它不替代数据库字段字典，也不替代业务负责人对目标金额的正式变更。所有岗位先记录统计周期、数据范围和使用版本，再记录动作状态和后续安排。</w:t>
      </w:r>
    </w:p>
    <w:p w14:paraId="0D5B449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工作中常见的问题不是没有动作，而是动作与数据范围没有对应关系。例如把视频商品混入音频统计、将 Heavy Metal 并入 Metal、把客户支持负责人误写成销售归属，都会让后续复盘无法解释。因此本手册把数据核对、动作执行和归档作为同一条工作链处理。</w:t>
      </w:r>
    </w:p>
    <w:p w14:paraId="75742098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二 岗位职责和交接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FE6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05F9046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岗位</w:t>
            </w:r>
          </w:p>
        </w:tc>
        <w:tc>
          <w:tcPr>
            <w:tcW w:w="2464" w:type="dxa"/>
          </w:tcPr>
          <w:p w14:paraId="1906930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主要职责</w:t>
            </w:r>
          </w:p>
        </w:tc>
        <w:tc>
          <w:tcPr>
            <w:tcW w:w="2464" w:type="dxa"/>
          </w:tcPr>
          <w:p w14:paraId="2FF2DA7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每周交付</w:t>
            </w:r>
          </w:p>
        </w:tc>
        <w:tc>
          <w:tcPr>
            <w:tcW w:w="2464" w:type="dxa"/>
          </w:tcPr>
          <w:p w14:paraId="2A89344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需要交接的内容</w:t>
            </w:r>
          </w:p>
        </w:tc>
      </w:tr>
      <w:tr w14:paraId="0A01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12B66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品类运营</w:t>
            </w:r>
          </w:p>
        </w:tc>
        <w:tc>
          <w:tcPr>
            <w:tcW w:w="2464" w:type="dxa"/>
          </w:tcPr>
          <w:p w14:paraId="2B2FCFF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维护品类计划、专题陈列和组合建议</w:t>
            </w:r>
          </w:p>
        </w:tc>
        <w:tc>
          <w:tcPr>
            <w:tcW w:w="2464" w:type="dxa"/>
          </w:tcPr>
          <w:p w14:paraId="19DC15D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品类进度、动作状态、待处理问题</w:t>
            </w:r>
          </w:p>
        </w:tc>
        <w:tc>
          <w:tcPr>
            <w:tcW w:w="2464" w:type="dxa"/>
          </w:tcPr>
          <w:p w14:paraId="6A7D9C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商品清单、专题稿、遗留事项</w:t>
            </w:r>
          </w:p>
        </w:tc>
      </w:tr>
      <w:tr w14:paraId="5426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64" w:type="dxa"/>
          </w:tcPr>
          <w:p w14:paraId="623493D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经营分析</w:t>
            </w:r>
          </w:p>
        </w:tc>
        <w:tc>
          <w:tcPr>
            <w:tcW w:w="2464" w:type="dxa"/>
          </w:tcPr>
          <w:p w14:paraId="5B9CE37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提供实际值、目标对照和复盘结论</w:t>
            </w:r>
          </w:p>
        </w:tc>
        <w:tc>
          <w:tcPr>
            <w:tcW w:w="2464" w:type="dxa"/>
          </w:tcPr>
          <w:p w14:paraId="737C60C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汇总表、查询条件、异常记录</w:t>
            </w:r>
          </w:p>
        </w:tc>
        <w:tc>
          <w:tcPr>
            <w:tcW w:w="2464" w:type="dxa"/>
          </w:tcPr>
          <w:p w14:paraId="50136A1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SQL文件、口径、数据版本</w:t>
            </w:r>
          </w:p>
        </w:tc>
      </w:tr>
      <w:tr w14:paraId="7755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7E767C8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商品内容</w:t>
            </w:r>
          </w:p>
        </w:tc>
        <w:tc>
          <w:tcPr>
            <w:tcW w:w="2464" w:type="dxa"/>
          </w:tcPr>
          <w:p w14:paraId="10B2BED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核对名称、专辑、艺术家、媒体类型和分类</w:t>
            </w:r>
          </w:p>
        </w:tc>
        <w:tc>
          <w:tcPr>
            <w:tcW w:w="2464" w:type="dxa"/>
          </w:tcPr>
          <w:p w14:paraId="4E6470B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内容修订清单、素材位置</w:t>
            </w:r>
          </w:p>
        </w:tc>
        <w:tc>
          <w:tcPr>
            <w:tcW w:w="2464" w:type="dxa"/>
          </w:tcPr>
          <w:p w14:paraId="58DC639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新旧稿件、使用日期、待核对项</w:t>
            </w:r>
          </w:p>
        </w:tc>
      </w:tr>
      <w:tr w14:paraId="7FFA4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C3313D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客户支持</w:t>
            </w:r>
          </w:p>
        </w:tc>
        <w:tc>
          <w:tcPr>
            <w:tcW w:w="2464" w:type="dxa"/>
          </w:tcPr>
          <w:p w14:paraId="3DF428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根据已有购买记录安排客户维护</w:t>
            </w:r>
          </w:p>
        </w:tc>
        <w:tc>
          <w:tcPr>
            <w:tcW w:w="2464" w:type="dxa"/>
          </w:tcPr>
          <w:p w14:paraId="671E3DE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联系状态和需要协助的问题</w:t>
            </w:r>
          </w:p>
        </w:tc>
        <w:tc>
          <w:tcPr>
            <w:tcW w:w="2464" w:type="dxa"/>
          </w:tcPr>
          <w:p w14:paraId="7A8C907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客户编号范围、联系记录、隐私边界</w:t>
            </w:r>
          </w:p>
        </w:tc>
      </w:tr>
      <w:tr w14:paraId="0D9CA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8E7AF1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数据维护</w:t>
            </w:r>
          </w:p>
        </w:tc>
        <w:tc>
          <w:tcPr>
            <w:tcW w:w="2464" w:type="dxa"/>
          </w:tcPr>
          <w:p w14:paraId="0C89A4F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处理分类、关联和重复连接问题</w:t>
            </w:r>
          </w:p>
        </w:tc>
        <w:tc>
          <w:tcPr>
            <w:tcW w:w="2464" w:type="dxa"/>
          </w:tcPr>
          <w:p w14:paraId="5CCE55F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数据问题清单、修复说明</w:t>
            </w:r>
          </w:p>
        </w:tc>
        <w:tc>
          <w:tcPr>
            <w:tcW w:w="2464" w:type="dxa"/>
          </w:tcPr>
          <w:p w14:paraId="526BB85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字段映射、修订前后结果</w:t>
            </w:r>
          </w:p>
        </w:tc>
      </w:tr>
    </w:tbl>
    <w:p w14:paraId="5EBEFCD7"/>
    <w:p w14:paraId="2D69A20E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岗位交接时不能只转发最近一次汇总数字。至少要交接文件位置、当前版本、未完成事项、下一检查日期和已知的数据口径问题。</w:t>
      </w:r>
    </w:p>
    <w:p w14:paraId="631CF96B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三 运营节奏</w:t>
      </w:r>
    </w:p>
    <w:p w14:paraId="0BFBECCC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每周一先看上周实际值和季度累计进度，再确定本周动作；周三检查素材和目录变更；周五将动作状态和异常登记到周报。月中检查用于发现进度偏差，季度结算才用于正式判定是否达到 季度目标 目标。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6B5A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0C1E911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周期</w:t>
            </w:r>
          </w:p>
        </w:tc>
        <w:tc>
          <w:tcPr>
            <w:tcW w:w="2464" w:type="dxa"/>
          </w:tcPr>
          <w:p w14:paraId="764D35F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固定动作</w:t>
            </w:r>
          </w:p>
        </w:tc>
        <w:tc>
          <w:tcPr>
            <w:tcW w:w="2464" w:type="dxa"/>
          </w:tcPr>
          <w:p w14:paraId="6F30088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经营分析内容</w:t>
            </w:r>
          </w:p>
        </w:tc>
        <w:tc>
          <w:tcPr>
            <w:tcW w:w="2464" w:type="dxa"/>
          </w:tcPr>
          <w:p w14:paraId="5BC8B9E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形成材料</w:t>
            </w:r>
          </w:p>
        </w:tc>
      </w:tr>
      <w:tr w14:paraId="1C90B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94E85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每周</w:t>
            </w:r>
          </w:p>
        </w:tc>
        <w:tc>
          <w:tcPr>
            <w:tcW w:w="2464" w:type="dxa"/>
          </w:tcPr>
          <w:p w14:paraId="6133745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目录检查、素材准备、动作跟进</w:t>
            </w:r>
          </w:p>
        </w:tc>
        <w:tc>
          <w:tcPr>
            <w:tcW w:w="2464" w:type="dxa"/>
          </w:tcPr>
          <w:p w14:paraId="5B75D9F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周累计与季度累计</w:t>
            </w:r>
          </w:p>
        </w:tc>
        <w:tc>
          <w:tcPr>
            <w:tcW w:w="2464" w:type="dxa"/>
          </w:tcPr>
          <w:p w14:paraId="07BA55D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周报和待办清单</w:t>
            </w:r>
          </w:p>
        </w:tc>
      </w:tr>
      <w:tr w14:paraId="1FE6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707605D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月中</w:t>
            </w:r>
          </w:p>
        </w:tc>
        <w:tc>
          <w:tcPr>
            <w:tcW w:w="2464" w:type="dxa"/>
          </w:tcPr>
          <w:p w14:paraId="1465F30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检查进度与数据异常</w:t>
            </w:r>
          </w:p>
        </w:tc>
        <w:tc>
          <w:tcPr>
            <w:tcW w:w="2464" w:type="dxa"/>
          </w:tcPr>
          <w:p w14:paraId="312A57D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计划进度、异常原因</w:t>
            </w:r>
          </w:p>
        </w:tc>
        <w:tc>
          <w:tcPr>
            <w:tcW w:w="2464" w:type="dxa"/>
          </w:tcPr>
          <w:p w14:paraId="3FFC827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月中检查记录</w:t>
            </w:r>
          </w:p>
        </w:tc>
      </w:tr>
      <w:tr w14:paraId="673E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6A57DAE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月末</w:t>
            </w:r>
          </w:p>
        </w:tc>
        <w:tc>
          <w:tcPr>
            <w:tcW w:w="2464" w:type="dxa"/>
          </w:tcPr>
          <w:p w14:paraId="41920A9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汇总当月与季度累计</w:t>
            </w:r>
          </w:p>
        </w:tc>
        <w:tc>
          <w:tcPr>
            <w:tcW w:w="2464" w:type="dxa"/>
          </w:tcPr>
          <w:p w14:paraId="153BBC8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销售额、销量、订单数、客户数</w:t>
            </w:r>
          </w:p>
        </w:tc>
        <w:tc>
          <w:tcPr>
            <w:tcW w:w="2464" w:type="dxa"/>
          </w:tcPr>
          <w:p w14:paraId="0297ECA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月度汇总表</w:t>
            </w:r>
          </w:p>
        </w:tc>
      </w:tr>
      <w:tr w14:paraId="7AF2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3EBF59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季度末</w:t>
            </w:r>
          </w:p>
        </w:tc>
        <w:tc>
          <w:tcPr>
            <w:tcW w:w="2464" w:type="dxa"/>
          </w:tcPr>
          <w:p w14:paraId="73AFFBB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目标验收与复盘</w:t>
            </w:r>
          </w:p>
        </w:tc>
        <w:tc>
          <w:tcPr>
            <w:tcW w:w="2464" w:type="dxa"/>
          </w:tcPr>
          <w:p w14:paraId="3F6359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实际值、差额、达成率</w:t>
            </w:r>
          </w:p>
        </w:tc>
        <w:tc>
          <w:tcPr>
            <w:tcW w:w="2464" w:type="dxa"/>
          </w:tcPr>
          <w:p w14:paraId="72EA003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季度复盘报告</w:t>
            </w:r>
          </w:p>
        </w:tc>
      </w:tr>
    </w:tbl>
    <w:p w14:paraId="6E4628EF"/>
    <w:p w14:paraId="6B63A6E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月度计划是过程工具，不能替代季度目标。某一月份未达到计划并不自动意味着季度未达标；同样，月度超过计划也不代表季度任务已经完成。</w:t>
      </w:r>
    </w:p>
    <w:p w14:paraId="2B9B200D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四 统一判断规则</w:t>
      </w:r>
    </w:p>
    <w:p w14:paraId="484FE8C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销售额按订单明细单价乘数量计算，销量按订单明细数量计算。音乐分析只统计音频媒体类型，第三季度使用2025-07-01至2025-10-01的左闭右开区间。Rock 只指 Genre:1，Metal 只指 Genre:3，Latin 只指 Genre:7。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5F1B9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1FE3AB3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判断信号</w:t>
            </w:r>
          </w:p>
        </w:tc>
        <w:tc>
          <w:tcPr>
            <w:tcW w:w="2464" w:type="dxa"/>
          </w:tcPr>
          <w:p w14:paraId="38652F9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首要检查</w:t>
            </w:r>
          </w:p>
        </w:tc>
        <w:tc>
          <w:tcPr>
            <w:tcW w:w="2464" w:type="dxa"/>
          </w:tcPr>
          <w:p w14:paraId="4AE8631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可采取的动作</w:t>
            </w:r>
          </w:p>
        </w:tc>
        <w:tc>
          <w:tcPr>
            <w:tcW w:w="2464" w:type="dxa"/>
          </w:tcPr>
          <w:p w14:paraId="56612F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暂不应做的事</w:t>
            </w:r>
          </w:p>
        </w:tc>
      </w:tr>
      <w:tr w14:paraId="0C87A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7F1C19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销售额低于目标</w:t>
            </w:r>
          </w:p>
        </w:tc>
        <w:tc>
          <w:tcPr>
            <w:tcW w:w="2464" w:type="dxa"/>
          </w:tcPr>
          <w:p w14:paraId="40EE35E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时间范围、媒体类型、分类边界</w:t>
            </w:r>
          </w:p>
        </w:tc>
        <w:tc>
          <w:tcPr>
            <w:tcW w:w="2464" w:type="dxa"/>
          </w:tcPr>
          <w:p w14:paraId="4193ECB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检查陈列、组合和客户触达</w:t>
            </w:r>
          </w:p>
        </w:tc>
        <w:tc>
          <w:tcPr>
            <w:tcW w:w="2464" w:type="dxa"/>
          </w:tcPr>
          <w:p w14:paraId="441B30A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直接归因于某次活动</w:t>
            </w:r>
          </w:p>
        </w:tc>
      </w:tr>
      <w:tr w14:paraId="2A27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789D424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销量接近目标但销售额偏低</w:t>
            </w:r>
          </w:p>
        </w:tc>
        <w:tc>
          <w:tcPr>
            <w:tcW w:w="2464" w:type="dxa"/>
          </w:tcPr>
          <w:p w14:paraId="4B28294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商品价格、组合结构、客单价</w:t>
            </w:r>
          </w:p>
        </w:tc>
        <w:tc>
          <w:tcPr>
            <w:tcW w:w="2464" w:type="dxa"/>
          </w:tcPr>
          <w:p w14:paraId="0D8363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调整组合和高复购商品展示</w:t>
            </w:r>
          </w:p>
        </w:tc>
        <w:tc>
          <w:tcPr>
            <w:tcW w:w="2464" w:type="dxa"/>
          </w:tcPr>
          <w:p w14:paraId="634C685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只追求件数</w:t>
            </w:r>
          </w:p>
        </w:tc>
      </w:tr>
      <w:tr w14:paraId="6E65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B7CFBD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订单数较少</w:t>
            </w:r>
          </w:p>
        </w:tc>
        <w:tc>
          <w:tcPr>
            <w:tcW w:w="2464" w:type="dxa"/>
          </w:tcPr>
          <w:p w14:paraId="538002E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订单明细和购买客户数</w:t>
            </w:r>
          </w:p>
        </w:tc>
        <w:tc>
          <w:tcPr>
            <w:tcW w:w="2464" w:type="dxa"/>
          </w:tcPr>
          <w:p w14:paraId="6B736F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做已有客户的定向推荐</w:t>
            </w:r>
          </w:p>
        </w:tc>
        <w:tc>
          <w:tcPr>
            <w:tcW w:w="2464" w:type="dxa"/>
          </w:tcPr>
          <w:p w14:paraId="0EECCC4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把支持负责人当作销售归属</w:t>
            </w:r>
          </w:p>
        </w:tc>
      </w:tr>
      <w:tr w14:paraId="7339A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4448B1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数据结果突然放大</w:t>
            </w:r>
          </w:p>
        </w:tc>
        <w:tc>
          <w:tcPr>
            <w:tcW w:w="2464" w:type="dxa"/>
          </w:tcPr>
          <w:p w14:paraId="0DE7AA1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多表连接和播放列表重复</w:t>
            </w:r>
          </w:p>
        </w:tc>
        <w:tc>
          <w:tcPr>
            <w:tcW w:w="2464" w:type="dxa"/>
          </w:tcPr>
          <w:p w14:paraId="4B3B36C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重新核对查询粒度</w:t>
            </w:r>
          </w:p>
        </w:tc>
        <w:tc>
          <w:tcPr>
            <w:tcW w:w="2464" w:type="dxa"/>
          </w:tcPr>
          <w:p w14:paraId="7FDFA6D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用平均值掩盖差异</w:t>
            </w:r>
          </w:p>
        </w:tc>
      </w:tr>
      <w:tr w14:paraId="255D4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0753E2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只有一笔订单</w:t>
            </w:r>
          </w:p>
        </w:tc>
        <w:tc>
          <w:tcPr>
            <w:tcW w:w="2464" w:type="dxa"/>
          </w:tcPr>
          <w:p w14:paraId="4E4C91B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样本数量和商品明细</w:t>
            </w:r>
          </w:p>
        </w:tc>
        <w:tc>
          <w:tcPr>
            <w:tcW w:w="2464" w:type="dxa"/>
          </w:tcPr>
          <w:p w14:paraId="4174220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标记观察，不下趋势结论</w:t>
            </w:r>
          </w:p>
        </w:tc>
        <w:tc>
          <w:tcPr>
            <w:tcW w:w="2464" w:type="dxa"/>
          </w:tcPr>
          <w:p w14:paraId="2DF605E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把短期波动写成稳定趋势</w:t>
            </w:r>
          </w:p>
        </w:tc>
      </w:tr>
    </w:tbl>
    <w:p w14:paraId="7D9AA5E2"/>
    <w:p w14:paraId="041463A6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五 Rock 品类运营</w:t>
      </w:r>
    </w:p>
    <w:p w14:paraId="28FB7AE0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Rock 是本季度重点增长品类。季度目标 为 Rock 设置销售额50.00美元、销量50件的季度目标。二季度 Rock 销售额42.57美元，后续复盘应同时看销售额、销量和订单数，避免只看金额变化。</w:t>
      </w:r>
    </w:p>
    <w:p w14:paraId="5548F635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当 Rock 处于重点增长状态时，品类运营先整理已有成交商品和专辑，确认商品名称、艺术家、媒体类型和 Genre:1 一致，再准备专题陈列和组合推荐。推荐内容可以围绕高销售专辑、高频购买客户或相近商品展开，但每一项都要登记依据和执行日期。</w:t>
      </w:r>
    </w:p>
    <w:p w14:paraId="4975C3D9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Rock 的执行顺序</w:t>
      </w:r>
    </w:p>
    <w:p w14:paraId="08D434F1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1. 核对第三季度音频范围和完整季度日期。 2. 按 Genre:1 取得销售额、销量、订单数和购买客户数。 3. 查看销售额最高的专辑和商品，排查是否集中于少数订单。 4. 准备专题陈列、组合推荐和客户触达建议。 5. 每周记录动作状态，月末比较实际值与累计计划。 6. 季度复盘时把实际值、目标、差额和动作记录放在同一份材料中。</w:t>
      </w:r>
    </w:p>
    <w:p w14:paraId="1371CDE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Rock 的常见误读包括把 Rock And Roll 合并进 Rock、把播放列表收录当作销售表现、把支持负责人对应关系写成个人销售贡献。遇到这些情况，先保留数据库标准分类和岗位责任，再决定是否需要补充说明。</w:t>
      </w:r>
    </w:p>
    <w:p w14:paraId="2DC03E55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六 Metal 品类运营</w:t>
      </w:r>
    </w:p>
    <w:p w14:paraId="17C8FBE4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Metal 的季度基础目标为销售额24.00美元、销量25件。Metal 与 Heavy Metal 分开维护；季度目标 的 Metal 目标只对应 Genre:3。Metal 的运营重点是保持基础贡献、减少低订单数造成的波动，并识别已有购买记录的客户。</w:t>
      </w:r>
    </w:p>
    <w:p w14:paraId="22D12FD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当销售额或销量低于目标且订单数较少时，优先向已经购买过相关商品的客户做定向推荐。商品组合应记录商品编号、专辑、价格和推荐理由。若样本只有单笔订单，先把结果标为观察项，等待下一次完整周期再讨论趋势。</w:t>
      </w:r>
    </w:p>
    <w:p w14:paraId="54DCA6E6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Metal 的内容维护不要求每天调整专题位置。若目录中出现 Metal 与 Heavy Metal 的中文译名混用，内容岗先保留数据库名称，再在文案中补充解释。未经确认的分类合并不能写入周报结论。</w:t>
      </w:r>
    </w:p>
    <w:p w14:paraId="5E4CBF8F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七 Latin 品类运营</w:t>
      </w:r>
    </w:p>
    <w:p w14:paraId="1900F89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Latin 的季度基础目标为销售额18.00美元、销量18件。Latin 的主要观察点是销量与销售额的关系：当销量接近目标但销售额较低时，检查价格带和商品组合，而不是继续单纯增加件数。</w:t>
      </w:r>
    </w:p>
    <w:p w14:paraId="287EA062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Latin 的推荐动作可以优先选择已有购买记录、高复购倾向或适合组合展示的商品。动作记录要包含实际使用的商品价格和订单明细范围；如果没有这些信息，只能提出“需要检查价格带”的建议，不能直接写成价格结构结论。</w:t>
      </w:r>
    </w:p>
    <w:p w14:paraId="038A62BC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八 跨品类排序和资源分配</w:t>
      </w:r>
    </w:p>
    <w:p w14:paraId="12A07163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跨品类资源安排按销售额排名、目标达成率、订单数和数据稳定性综合判断。销售额最高但未达目标的品类，通常优先做陈列和组合优化；销售额低但订单数稳定的品类，适合做定向推荐；样本过少的品类先做数据补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383DD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720E8C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情形</w:t>
            </w:r>
          </w:p>
        </w:tc>
        <w:tc>
          <w:tcPr>
            <w:tcW w:w="2464" w:type="dxa"/>
          </w:tcPr>
          <w:p w14:paraId="1B169D9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优先级</w:t>
            </w:r>
          </w:p>
        </w:tc>
        <w:tc>
          <w:tcPr>
            <w:tcW w:w="2464" w:type="dxa"/>
          </w:tcPr>
          <w:p w14:paraId="349956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建议投入</w:t>
            </w:r>
          </w:p>
        </w:tc>
        <w:tc>
          <w:tcPr>
            <w:tcW w:w="2464" w:type="dxa"/>
          </w:tcPr>
          <w:p w14:paraId="75E3BCC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复盘问题</w:t>
            </w:r>
          </w:p>
        </w:tc>
      </w:tr>
      <w:tr w14:paraId="20912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0852F7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重点品类销售额最高且有目标缺口</w:t>
            </w:r>
          </w:p>
        </w:tc>
        <w:tc>
          <w:tcPr>
            <w:tcW w:w="2464" w:type="dxa"/>
          </w:tcPr>
          <w:p w14:paraId="6E6E17A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高</w:t>
            </w:r>
          </w:p>
        </w:tc>
        <w:tc>
          <w:tcPr>
            <w:tcW w:w="2464" w:type="dxa"/>
          </w:tcPr>
          <w:p w14:paraId="526894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专题陈列、组合推荐、每周跟踪</w:t>
            </w:r>
          </w:p>
        </w:tc>
        <w:tc>
          <w:tcPr>
            <w:tcW w:w="2464" w:type="dxa"/>
          </w:tcPr>
          <w:p w14:paraId="17B442F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缺口来自销量还是商品结构</w:t>
            </w:r>
          </w:p>
        </w:tc>
      </w:tr>
      <w:tr w14:paraId="3167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6D74D99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目标已达但订单数少</w:t>
            </w:r>
          </w:p>
        </w:tc>
        <w:tc>
          <w:tcPr>
            <w:tcW w:w="2464" w:type="dxa"/>
          </w:tcPr>
          <w:p w14:paraId="09ACFA3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中</w:t>
            </w:r>
          </w:p>
        </w:tc>
        <w:tc>
          <w:tcPr>
            <w:tcW w:w="2464" w:type="dxa"/>
          </w:tcPr>
          <w:p w14:paraId="7E12EBB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保持陈列，观察客户数</w:t>
            </w:r>
          </w:p>
        </w:tc>
        <w:tc>
          <w:tcPr>
            <w:tcW w:w="2464" w:type="dxa"/>
          </w:tcPr>
          <w:p w14:paraId="2211E35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达标是否依赖少数订单</w:t>
            </w:r>
          </w:p>
        </w:tc>
      </w:tr>
      <w:tr w14:paraId="0077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33714B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销量达标、销售额未达标</w:t>
            </w:r>
          </w:p>
        </w:tc>
        <w:tc>
          <w:tcPr>
            <w:tcW w:w="2464" w:type="dxa"/>
          </w:tcPr>
          <w:p w14:paraId="567ED12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中</w:t>
            </w:r>
          </w:p>
        </w:tc>
        <w:tc>
          <w:tcPr>
            <w:tcW w:w="2464" w:type="dxa"/>
          </w:tcPr>
          <w:p w14:paraId="51002EB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检查价格带和组合</w:t>
            </w:r>
          </w:p>
        </w:tc>
        <w:tc>
          <w:tcPr>
            <w:tcW w:w="2464" w:type="dxa"/>
          </w:tcPr>
          <w:p w14:paraId="3B11311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件数增长是否牺牲客单价</w:t>
            </w:r>
          </w:p>
        </w:tc>
      </w:tr>
      <w:tr w14:paraId="7196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778C785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数据口径未核对</w:t>
            </w:r>
          </w:p>
        </w:tc>
        <w:tc>
          <w:tcPr>
            <w:tcW w:w="2464" w:type="dxa"/>
          </w:tcPr>
          <w:p w14:paraId="2E60FA0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暂缓</w:t>
            </w:r>
          </w:p>
        </w:tc>
        <w:tc>
          <w:tcPr>
            <w:tcW w:w="2464" w:type="dxa"/>
          </w:tcPr>
          <w:p w14:paraId="0020201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先修复数据与映射</w:t>
            </w:r>
          </w:p>
        </w:tc>
        <w:tc>
          <w:tcPr>
            <w:tcW w:w="2464" w:type="dxa"/>
          </w:tcPr>
          <w:p w14:paraId="57A2C0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结果能否回到订单明细</w:t>
            </w:r>
          </w:p>
        </w:tc>
      </w:tr>
    </w:tbl>
    <w:p w14:paraId="4781980B"/>
    <w:p w14:paraId="10312B90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同一周同时有多个品类需要调整时，由品类运营提交资源安排建议，经营分析提供数据依据，业务负责人确认优先级。周报中写清“已确定”“待确认”和“仅供讨论”，避免把讨论稿当作执行安排。</w:t>
      </w:r>
    </w:p>
    <w:p w14:paraId="173AB6B6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九 客户支持协作</w:t>
      </w:r>
    </w:p>
    <w:p w14:paraId="7548FCC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客户支持根据已有购买记录整理需要维护的客户编号范围。支持负责人关系用于安排联络和核对，不作为销售归属或个人提成依据。经营汇总中优先使用客户编号和品类范围，例会需要查看订单时再打开明细。</w:t>
      </w:r>
    </w:p>
    <w:p w14:paraId="636D2AD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客户沟通记录至少包含日期、品类、客户编号范围、处理状态和下一步。不要把“客户过去购买过”写成“客户已经接受本次推荐”；没有联络结果时只能标记为待核对。手册没有设定联络次数考核值，工作量可以记录，是否形成指标需另行讨论。</w:t>
      </w:r>
    </w:p>
    <w:p w14:paraId="4B27C567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十 商品内容与素材管理</w:t>
      </w:r>
    </w:p>
    <w:p w14:paraId="09E6F2C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商品内容岗检查名称、专辑归属、艺术家、媒体类型和 Genre 是否一致。专题页、封面说明、组合文案和客户推荐文本分别保存，避免用一份临时文案代替所有场景。更换素材时保留旧稿、使用日期和替换原因。</w:t>
      </w:r>
    </w:p>
    <w:p w14:paraId="63F5968B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素材文件名建议采用“周期_品类_用途_版本”格式。例如“2025Q3_Rock_专题陈列_V1.0”。已归档版本不在工作目录继续使用“最终版”作为文件名；如果必须修订，使用修订号并在版本记录中写明修改内容。</w:t>
      </w:r>
    </w:p>
    <w:p w14:paraId="4715D895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十一 数据查询与复盘写法</w:t>
      </w:r>
    </w:p>
    <w:p w14:paraId="749FFC4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经营分析岗保存查询文件、执行日期、数据库版本和筛选条件。涉及 Invoice、InvoiceLine、Track、Genre、MediaType 时，先确认连接关系和过滤条件；播放列表连接可能造成同一商品多次出现，不能直接用于销售额求和。</w:t>
      </w:r>
    </w:p>
    <w:p w14:paraId="3AFB8D41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复盘结论推荐采用“事实、解释、动作、复核日期”四段式。事实写实际值和目标比较，解释写能由数据或材料支持的原因，动作写责任岗位和下一步，复核日期写下一次检查时间。没有足够证据时，写待核对事项，不把猜测写成原因。</w:t>
      </w:r>
    </w:p>
    <w:p w14:paraId="11877E55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十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 xml:space="preserve">二 </w:t>
      </w:r>
      <w:r>
        <w:rPr>
          <w:rFonts w:ascii="微软雅黑" w:hAnsi="微软雅黑" w:eastAsia="微软雅黑" w:cs="微软雅黑"/>
          <w:b/>
          <w:sz w:val="30"/>
        </w:rPr>
        <w:t>周报和季度复盘模板</w:t>
      </w:r>
    </w:p>
    <w:p w14:paraId="5561AE43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周报必填项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5830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</w:tcPr>
          <w:p w14:paraId="4A45AEF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项目</w:t>
            </w:r>
          </w:p>
        </w:tc>
        <w:tc>
          <w:tcPr>
            <w:tcW w:w="4929" w:type="dxa"/>
          </w:tcPr>
          <w:p w14:paraId="3FC3F1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填写内容</w:t>
            </w:r>
          </w:p>
        </w:tc>
      </w:tr>
      <w:tr w14:paraId="374D5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</w:tcPr>
          <w:p w14:paraId="0BAA4F6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统计周期</w:t>
            </w:r>
          </w:p>
        </w:tc>
        <w:tc>
          <w:tcPr>
            <w:tcW w:w="4929" w:type="dxa"/>
          </w:tcPr>
          <w:p w14:paraId="142E088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起止日期、是否完整周</w:t>
            </w:r>
          </w:p>
        </w:tc>
      </w:tr>
      <w:tr w14:paraId="77E6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</w:tcPr>
          <w:p w14:paraId="604B218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品类范围</w:t>
            </w:r>
          </w:p>
        </w:tc>
        <w:tc>
          <w:tcPr>
            <w:tcW w:w="4929" w:type="dxa"/>
          </w:tcPr>
          <w:p w14:paraId="3FE108A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Rock、Metal、Latin 或全音频</w:t>
            </w:r>
          </w:p>
        </w:tc>
      </w:tr>
      <w:tr w14:paraId="443B3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</w:tcPr>
          <w:p w14:paraId="2E8509D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本周实际</w:t>
            </w:r>
          </w:p>
        </w:tc>
        <w:tc>
          <w:tcPr>
            <w:tcW w:w="4929" w:type="dxa"/>
          </w:tcPr>
          <w:p w14:paraId="7E05BD3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销售额、销量、订单数、购买客户数</w:t>
            </w:r>
          </w:p>
        </w:tc>
      </w:tr>
      <w:tr w14:paraId="3751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</w:tcPr>
          <w:p w14:paraId="4282587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季度累计</w:t>
            </w:r>
          </w:p>
        </w:tc>
        <w:tc>
          <w:tcPr>
            <w:tcW w:w="4929" w:type="dxa"/>
          </w:tcPr>
          <w:p w14:paraId="29D8786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实际值、累计计划、进度比例</w:t>
            </w:r>
          </w:p>
        </w:tc>
      </w:tr>
      <w:tr w14:paraId="7701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</w:tcPr>
          <w:p w14:paraId="7CFDDC5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已完成动作</w:t>
            </w:r>
          </w:p>
        </w:tc>
        <w:tc>
          <w:tcPr>
            <w:tcW w:w="4929" w:type="dxa"/>
          </w:tcPr>
          <w:p w14:paraId="7FC5ABC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商品、专辑、专题或客户范围</w:t>
            </w:r>
          </w:p>
        </w:tc>
      </w:tr>
      <w:tr w14:paraId="2AA14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</w:tcPr>
          <w:p w14:paraId="7DD3A4A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待处理事项</w:t>
            </w:r>
          </w:p>
        </w:tc>
        <w:tc>
          <w:tcPr>
            <w:tcW w:w="4929" w:type="dxa"/>
          </w:tcPr>
          <w:p w14:paraId="19DE8B9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问题、处理人、下一日期</w:t>
            </w:r>
          </w:p>
        </w:tc>
      </w:tr>
      <w:tr w14:paraId="49B16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</w:tcPr>
          <w:p w14:paraId="36FAFC5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证据位置</w:t>
            </w:r>
          </w:p>
        </w:tc>
        <w:tc>
          <w:tcPr>
            <w:tcW w:w="4929" w:type="dxa"/>
          </w:tcPr>
          <w:p w14:paraId="1D67ED8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查询文件、素材目录、会议记录</w:t>
            </w:r>
          </w:p>
        </w:tc>
      </w:tr>
    </w:tbl>
    <w:p w14:paraId="46F824DC"/>
    <w:p w14:paraId="2AF4D316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季度复盘提纲</w:t>
      </w:r>
    </w:p>
    <w:p w14:paraId="0E52B011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1. 本季度使用的数据库、文档版本和统计边界。 2. 全音频及重点品类实际销售额、销量、订单数和购买客户数。 3. 与 季度目标 目标的差额、达成率和未达标项目。 4. 主要商品、专辑、客户结构和数据异常。 5. 已执行动作及其可核对的时间和对象。 6. 下一季度保留、停止或调整的动作。 7. 需要业务负责人确认的目标、资源或数据问题。</w:t>
      </w:r>
    </w:p>
    <w:p w14:paraId="785583A0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十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三</w:t>
      </w:r>
      <w:r>
        <w:rPr>
          <w:rFonts w:ascii="微软雅黑" w:hAnsi="微软雅黑" w:eastAsia="微软雅黑" w:cs="微软雅黑"/>
          <w:b/>
          <w:sz w:val="30"/>
        </w:rPr>
        <w:t xml:space="preserve"> 内部 FAQ</w:t>
      </w:r>
    </w:p>
    <w:p w14:paraId="38C553B8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Rock 是否包括 Rock And Roll</w:t>
      </w:r>
    </w:p>
    <w:p w14:paraId="01810372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不包括。季度目标 的 Rock 仅指 Genre:1，Rock And Roll 为另一分类。需要合并分析时单独提出问题并记录新的范围。</w:t>
      </w:r>
    </w:p>
    <w:p w14:paraId="0D62768B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Metal 是否包括 Heavy Metal</w:t>
      </w:r>
    </w:p>
    <w:p w14:paraId="1062D90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不包括。Metal 使用 Genre:3，Heavy Metal 使用 Genre:13。两者可在专题内容中一起讨论，但统计结果必须分开或明确写成合并范围。</w:t>
      </w:r>
    </w:p>
    <w:p w14:paraId="7F6C84DA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播放列表收录多的商品是否应该优先推荐</w:t>
      </w:r>
    </w:p>
    <w:p w14:paraId="35D2824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播放列表只有收录关系，没有播放日志。它可以作为内容整理的参考，但不能直接证明播放量、转化率或销售贡献。</w:t>
      </w:r>
    </w:p>
    <w:p w14:paraId="1E0A2880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达成率达到100%是否可以停止运营</w:t>
      </w:r>
    </w:p>
    <w:p w14:paraId="1A6E96B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不可以。达成率只说明目标比较结果，仍要查看订单是否集中、客户数是否稳定以及后续周期是否需要维护。停止或调整动作要有复盘记录。</w:t>
      </w:r>
    </w:p>
    <w:p w14:paraId="1EFFFD14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可以把客户支持负责人作为销售人员排名吗</w:t>
      </w:r>
    </w:p>
    <w:p w14:paraId="2FCF6913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不可以。员工与客户的关系表示支持负责人，不直接表示销售提成或个人促成业绩。</w:t>
      </w:r>
    </w:p>
    <w:p w14:paraId="2F59B515">
      <w:pPr>
        <w:pStyle w:val="3"/>
        <w:jc w:val="left"/>
      </w:pPr>
      <w:bookmarkStart w:id="0" w:name="_GoBack"/>
      <w:bookmarkEnd w:id="0"/>
      <w:r>
        <w:rPr>
          <w:rFonts w:ascii="微软雅黑" w:hAnsi="微软雅黑" w:eastAsia="微软雅黑" w:cs="微软雅黑"/>
          <w:b/>
          <w:sz w:val="30"/>
        </w:rPr>
        <w:t>附件 会议记录示例</w:t>
      </w:r>
    </w:p>
    <w:p w14:paraId="429F3E81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会议日期：2025年8月15日 会议主题：第三季度月中进度检查 参与岗位：品类运营、经营分析、商品内容、客户支持</w:t>
      </w:r>
    </w:p>
    <w:p w14:paraId="2A25732C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本次先核对数据范围，再讨论动作。Rock 需要继续检查专题陈列中的商品覆盖和专辑集中情况；Metal 继续维护已有购买客户的推荐清单；Latin 暂不扩大件数目标，先补齐商品价格和组合结构资料。经营分析岗在下一次月末汇总前补充查询文件位置，商品内容岗将新旧文案放入同一版本目录。以上事项在周报中列为待办，未将会议讨论直接写成目标变更。</w:t>
      </w:r>
    </w:p>
    <w:p w14:paraId="182590FA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每周结束时留下什么</w:t>
      </w:r>
    </w:p>
    <w:p w14:paraId="72752A6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周报写已完成动作、待核对商品、客户清单状态和下一次检查日期。页面稿、查询文件和素材目录使用同一版本名，方便下周继续接手。</w:t>
      </w:r>
    </w:p>
    <w:sectPr>
      <w:pgSz w:w="12240" w:h="15840"/>
      <w:pgMar w:top="1020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EA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2395</Words>
  <Characters>2634</Characters>
  <Lines>0</Lines>
  <Paragraphs>0</Paragraphs>
  <TotalTime>1</TotalTime>
  <ScaleCrop>false</ScaleCrop>
  <LinksUpToDate>false</LinksUpToDate>
  <CharactersWithSpaces>2713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吕佳阳</cp:lastModifiedBy>
  <dcterms:modified xsi:type="dcterms:W3CDTF">2026-10-02T10:49:16Z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eyJoZGlkIjoiZTJiZDFhNGNmMGMzN2VmMTc5MjU4M2YyYTY3YWNiZjEiLCJ1c2VySWQiOiIxNzIxNjE4MjA2In0=</vt:lpwstr>
  </property>
  <property fmtid="{D5CDD505-2E9C-101B-9397-08002B2CF9AE}" pid="3" name="KSOProductBuildVer">
    <vt:lpwstr>2052-12.1.0.28043</vt:lpwstr>
  </property>
  <property fmtid="{D5CDD505-2E9C-101B-9397-08002B2CF9AE}" pid="4" name="ICV">
    <vt:lpwstr>38968A7B6A624C19B3C713C619C9A931_12</vt:lpwstr>
  </property>
</Properties>
</file>