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FCA85">
      <w:pPr>
        <w:pStyle w:val="31"/>
        <w:jc w:val="center"/>
      </w:pPr>
      <w:r>
        <w:rPr>
          <w:rFonts w:ascii="微软雅黑" w:hAnsi="微软雅黑" w:eastAsia="微软雅黑" w:cs="微软雅黑"/>
          <w:b w:val="0"/>
          <w:sz w:val="44"/>
        </w:rPr>
        <w:t>音乐主题活动方案</w:t>
      </w:r>
    </w:p>
    <w:p w14:paraId="78AB8053">
      <w:pPr>
        <w:spacing w:after="140" w:line="300" w:lineRule="auto"/>
        <w:ind w:firstLine="312"/>
      </w:pPr>
      <w:r>
        <w:rPr>
          <w:rFonts w:ascii="微软雅黑" w:hAnsi="微软雅黑" w:eastAsia="微软雅黑" w:cs="微软雅黑"/>
          <w:b w:val="0"/>
          <w:sz w:val="20"/>
        </w:rPr>
        <w:t>10月初的季度复盘会提出了第四季度主题活动。Rock继续做专题，Metal和Latin保留延伸位置，活动页面和客户名单需要同一份商品清单。下面的方案作为立项、排期和上线前沟通的工作稿使用。</w:t>
      </w:r>
    </w:p>
    <w:p w14:paraId="169E884C">
      <w:pPr>
        <w:spacing w:after="140" w:line="300" w:lineRule="auto"/>
        <w:ind w:firstLine="312"/>
      </w:pPr>
      <w:r>
        <w:rPr>
          <w:rFonts w:ascii="微软雅黑" w:hAnsi="微软雅黑" w:eastAsia="微软雅黑" w:cs="微软雅黑"/>
          <w:b w:val="0"/>
          <w:sz w:val="20"/>
        </w:rPr>
        <w:t>活动编号：CHN-MKT-CAMPAIGN-10</w:t>
      </w:r>
    </w:p>
    <w:p w14:paraId="2A338088">
      <w:pPr>
        <w:spacing w:after="140" w:line="300" w:lineRule="auto"/>
        <w:ind w:firstLine="312"/>
      </w:pPr>
      <w:r>
        <w:rPr>
          <w:rFonts w:ascii="微软雅黑" w:hAnsi="微软雅黑" w:eastAsia="微软雅黑" w:cs="微软雅黑"/>
          <w:b w:val="0"/>
          <w:sz w:val="20"/>
        </w:rPr>
        <w:t>方案名称：第四季度摇滚与经典专辑主题活动</w:t>
      </w:r>
    </w:p>
    <w:p w14:paraId="46AA6AF0">
      <w:pPr>
        <w:spacing w:after="140" w:line="300" w:lineRule="auto"/>
        <w:ind w:firstLine="312"/>
      </w:pPr>
      <w:r>
        <w:rPr>
          <w:rFonts w:ascii="微软雅黑" w:hAnsi="微软雅黑" w:eastAsia="微软雅黑" w:cs="微软雅黑"/>
          <w:b w:val="0"/>
          <w:sz w:val="20"/>
        </w:rPr>
        <w:t>版本：V1.0　拟执行周期：2025年10月20日至2025年11月2日</w:t>
      </w:r>
    </w:p>
    <w:p w14:paraId="206CF97E">
      <w:pPr>
        <w:spacing w:after="140" w:line="300" w:lineRule="auto"/>
        <w:ind w:firstLine="312"/>
      </w:pPr>
      <w:r>
        <w:rPr>
          <w:rFonts w:ascii="微软雅黑" w:hAnsi="微软雅黑" w:eastAsia="微软雅黑" w:cs="微软雅黑"/>
          <w:b w:val="0"/>
          <w:sz w:val="20"/>
        </w:rPr>
        <w:t>牵头岗位：品类运营</w:t>
      </w:r>
    </w:p>
    <w:p w14:paraId="57760A89">
      <w:pPr>
        <w:pStyle w:val="3"/>
        <w:jc w:val="left"/>
      </w:pPr>
      <w:r>
        <w:rPr>
          <w:rFonts w:ascii="微软雅黑" w:hAnsi="微软雅黑" w:eastAsia="微软雅黑" w:cs="微软雅黑"/>
          <w:b/>
          <w:sz w:val="30"/>
        </w:rPr>
        <w:t>一 项目背景</w:t>
      </w:r>
    </w:p>
    <w:p w14:paraId="2338FD4F">
      <w:pPr>
        <w:spacing w:after="140" w:line="300" w:lineRule="auto"/>
        <w:ind w:firstLine="312"/>
      </w:pPr>
      <w:r>
        <w:rPr>
          <w:rFonts w:ascii="微软雅黑" w:hAnsi="微软雅黑" w:eastAsia="微软雅黑" w:cs="微软雅黑"/>
          <w:b w:val="0"/>
          <w:sz w:val="20"/>
        </w:rPr>
        <w:t>第三季度经营复盘显示，音频销售额112.86美元，较第二季度增加3.96美元，但距离季度目标全音频销售额目标120.00美元仍有7.14美元缺口。Rock销售额47.52美元，接近50.00美元目标；Metal销售额21.78美元，低于24.00美元目标；Latin销售额15.84美元，低于18.00美元目标。第三季度订单数21张、购买客户19人，整体规模有所增加，但新增规模有限。</w:t>
      </w:r>
    </w:p>
    <w:p w14:paraId="50E8124D">
      <w:pPr>
        <w:spacing w:after="140" w:line="300" w:lineRule="auto"/>
        <w:ind w:firstLine="312"/>
      </w:pPr>
      <w:r>
        <w:rPr>
          <w:rFonts w:ascii="微软雅黑" w:hAnsi="微软雅黑" w:eastAsia="微软雅黑" w:cs="微软雅黑"/>
          <w:b w:val="0"/>
          <w:sz w:val="20"/>
        </w:rPr>
        <w:t>根据第三季度复盘，第四季度需要继续观察Rock专题商品和专辑覆盖，同时给Metal和Latin保留常规内容位置。本活动以Rock和经典专辑内容为主线，加入少量Metal延伸商品，活动页面不直接使用“清库存”或“最受欢迎”等未经数据支持的表达。活动的作用是整理已有商品、提升专题内容的可见性，并为后续客户维护提供一份经过审核的商品清单。</w:t>
      </w:r>
    </w:p>
    <w:p w14:paraId="40BB9916">
      <w:pPr>
        <w:spacing w:after="140" w:line="300" w:lineRule="auto"/>
        <w:ind w:firstLine="312"/>
      </w:pPr>
      <w:r>
        <w:rPr>
          <w:rFonts w:ascii="微软雅黑" w:hAnsi="微软雅黑" w:eastAsia="微软雅黑" w:cs="微软雅黑"/>
          <w:b w:val="0"/>
          <w:sz w:val="20"/>
        </w:rPr>
        <w:t>本方案同时解决几个内部协作问题：商品内容需要知道哪些商品可以放在主位，客户支持需要明确可联系的客户范围，经营分析需要统一活动前后的观察口径，数据维护需要提前检查Genre和MediaType。活动页面上线前，所有岗位使用同一个版本的商品清单和文案。</w:t>
      </w:r>
    </w:p>
    <w:p w14:paraId="0A6FF516">
      <w:pPr>
        <w:pStyle w:val="3"/>
        <w:jc w:val="left"/>
      </w:pPr>
      <w:r>
        <w:rPr>
          <w:rFonts w:ascii="微软雅黑" w:hAnsi="微软雅黑" w:eastAsia="微软雅黑" w:cs="微软雅黑"/>
          <w:b/>
          <w:sz w:val="30"/>
        </w:rPr>
        <w:t>二 活动目标</w:t>
      </w:r>
    </w:p>
    <w:p w14:paraId="2E66191F">
      <w:pPr>
        <w:pStyle w:val="4"/>
        <w:jc w:val="left"/>
      </w:pPr>
      <w:r>
        <w:rPr>
          <w:rFonts w:ascii="微软雅黑" w:hAnsi="微软雅黑" w:eastAsia="微软雅黑" w:cs="微软雅黑"/>
          <w:b/>
          <w:sz w:val="24"/>
        </w:rPr>
        <w:t>主要目标</w:t>
      </w:r>
    </w:p>
    <w:p w14:paraId="21043475">
      <w:pPr>
        <w:spacing w:after="140" w:line="300" w:lineRule="auto"/>
        <w:ind w:firstLine="312"/>
      </w:pPr>
      <w:r>
        <w:rPr>
          <w:rFonts w:ascii="微软雅黑" w:hAnsi="微软雅黑" w:eastAsia="微软雅黑" w:cs="微软雅黑"/>
          <w:b w:val="0"/>
          <w:sz w:val="20"/>
        </w:rPr>
        <w:t>1. 完成Rock主题商品池和经典专辑延伸清单，确保每个商品都有TrackId、专辑、艺术家、Genre和MediaType记录。 2. 在活动周期内持续记录音频销售额、销量、订单数和购买客户数，为第四季度月度复盘提供一致的起点。 3. 为已经购买过Rock或Metal的客户提供经过审核的推荐范围，记录触达状态，不把发送动作写成客户已经接受推荐。 4. 建立一次完整的活动素材、页面、商品清单和复盘文件归档。</w:t>
      </w:r>
    </w:p>
    <w:p w14:paraId="41FB08BC">
      <w:pPr>
        <w:pStyle w:val="4"/>
        <w:jc w:val="left"/>
      </w:pPr>
      <w:r>
        <w:rPr>
          <w:rFonts w:ascii="微软雅黑" w:hAnsi="微软雅黑" w:eastAsia="微软雅黑" w:cs="微软雅黑"/>
          <w:b/>
          <w:sz w:val="24"/>
        </w:rPr>
        <w:t>观察目标</w:t>
      </w:r>
    </w:p>
    <w:p w14:paraId="350CD311">
      <w:pPr>
        <w:spacing w:after="140" w:line="300" w:lineRule="auto"/>
        <w:ind w:firstLine="312"/>
      </w:pPr>
      <w:r>
        <w:rPr>
          <w:rFonts w:ascii="微软雅黑" w:hAnsi="微软雅黑" w:eastAsia="微软雅黑" w:cs="微软雅黑"/>
          <w:b w:val="0"/>
          <w:sz w:val="20"/>
        </w:rPr>
        <w:t>活动期间重点观察Rock销售额、Rock订单数、活动商品的成交件数以及参加观察的客户数量。活动不单独设置个人销售目标，销售结果按品类和全音频范围汇总。活动前后比较时使用完整周期，活动中途的数字只用于进度记录。</w:t>
      </w:r>
    </w:p>
    <w:p w14:paraId="19784143">
      <w:pPr>
        <w:pStyle w:val="4"/>
        <w:jc w:val="left"/>
      </w:pPr>
      <w:r>
        <w:rPr>
          <w:rFonts w:ascii="微软雅黑" w:hAnsi="微软雅黑" w:eastAsia="微软雅黑" w:cs="微软雅黑"/>
          <w:b/>
          <w:sz w:val="24"/>
        </w:rPr>
        <w:t>本期不纳入的目标</w:t>
      </w:r>
    </w:p>
    <w:p w14:paraId="6404A977">
      <w:pPr>
        <w:spacing w:after="140" w:line="300" w:lineRule="auto"/>
        <w:ind w:firstLine="312"/>
      </w:pPr>
      <w:r>
        <w:rPr>
          <w:rFonts w:ascii="微软雅黑" w:hAnsi="微软雅黑" w:eastAsia="微软雅黑" w:cs="微软雅黑"/>
          <w:b w:val="0"/>
          <w:sz w:val="20"/>
        </w:rPr>
        <w:t>当前没有活动曝光、点击、播放、退款或成本数据，因此不在本活动中承诺转化率、利润率、广告回报或播放提升。若第四季度补充了活动事件日志，再另行设计活动效果分析。</w:t>
      </w:r>
    </w:p>
    <w:p w14:paraId="1F3BF2FB">
      <w:pPr>
        <w:pStyle w:val="3"/>
        <w:jc w:val="left"/>
      </w:pPr>
      <w:r>
        <w:rPr>
          <w:rFonts w:ascii="微软雅黑" w:hAnsi="微软雅黑" w:eastAsia="微软雅黑" w:cs="微软雅黑"/>
          <w:b/>
          <w:sz w:val="30"/>
        </w:rPr>
        <w:t>三 活动范围和商品条件</w:t>
      </w:r>
    </w:p>
    <w:p w14:paraId="531B3D8C">
      <w:pPr>
        <w:pStyle w:val="4"/>
        <w:jc w:val="left"/>
      </w:pPr>
      <w:r>
        <w:rPr>
          <w:rFonts w:ascii="微软雅黑" w:hAnsi="微软雅黑" w:eastAsia="微软雅黑" w:cs="微软雅黑"/>
          <w:b/>
          <w:sz w:val="24"/>
        </w:rPr>
        <w:t>品类范围</w:t>
      </w:r>
    </w:p>
    <w:p w14:paraId="3754B194">
      <w:pPr>
        <w:spacing w:after="140" w:line="300" w:lineRule="auto"/>
        <w:ind w:firstLine="312"/>
      </w:pPr>
      <w:r>
        <w:rPr>
          <w:rFonts w:ascii="微软雅黑" w:hAnsi="微软雅黑" w:eastAsia="微软雅黑" w:cs="微软雅黑"/>
          <w:b w:val="0"/>
          <w:sz w:val="20"/>
        </w:rPr>
        <w:t>主品类为Rock，即Genre:1。延伸品类为Metal，即Genre:3；Heavy Metal Genre:13如需加入，必须单独列出并由业务负责人确认。Rock And Roll Genre:5不自动并入Rock，若作为经典摇滚主题的一部分使用，在页面说明和商品清单中分别标明。</w:t>
      </w:r>
    </w:p>
    <w:p w14:paraId="5C5FEFD2">
      <w:pPr>
        <w:pStyle w:val="4"/>
        <w:jc w:val="left"/>
      </w:pPr>
      <w:r>
        <w:rPr>
          <w:rFonts w:ascii="微软雅黑" w:hAnsi="微软雅黑" w:eastAsia="微软雅黑" w:cs="微软雅黑"/>
          <w:b/>
          <w:sz w:val="24"/>
        </w:rPr>
        <w:t>媒体范围</w:t>
      </w:r>
    </w:p>
    <w:p w14:paraId="622C5B9A">
      <w:pPr>
        <w:spacing w:after="140" w:line="300" w:lineRule="auto"/>
        <w:ind w:firstLine="312"/>
      </w:pPr>
      <w:r>
        <w:rPr>
          <w:rFonts w:ascii="微软雅黑" w:hAnsi="微软雅黑" w:eastAsia="微软雅黑" w:cs="微软雅黑"/>
          <w:b w:val="0"/>
          <w:sz w:val="20"/>
        </w:rPr>
        <w:t>活动默认只使用音频商品，MediaTypeId为1、2、4、5。视频商品不放入普通音乐专题页；“Music Videos”播放列表中的商品也要逐条检查MediaType。活动页面如果需要视频栏目，使用独立栏目和独立商品清单，销售复盘分开统计。</w:t>
      </w:r>
    </w:p>
    <w:p w14:paraId="6F0956C3">
      <w:pPr>
        <w:pStyle w:val="4"/>
        <w:jc w:val="left"/>
      </w:pPr>
      <w:r>
        <w:rPr>
          <w:rFonts w:ascii="微软雅黑" w:hAnsi="微软雅黑" w:eastAsia="微软雅黑" w:cs="微软雅黑"/>
          <w:b/>
          <w:sz w:val="24"/>
        </w:rPr>
        <w:t>商品入选条件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42D6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AE6A3C9">
            <w:pPr>
              <w:spacing w:after="0" w:line="240" w:lineRule="auto"/>
            </w:pPr>
            <w:r>
              <w:rPr>
                <w:rFonts w:ascii="微软雅黑" w:hAnsi="微软雅黑" w:eastAsia="微软雅黑" w:cs="微软雅黑"/>
                <w:b/>
                <w:sz w:val="17"/>
              </w:rPr>
              <w:t>条件</w:t>
            </w:r>
          </w:p>
        </w:tc>
        <w:tc>
          <w:tcPr>
            <w:tcW w:w="3286" w:type="dxa"/>
          </w:tcPr>
          <w:p w14:paraId="2685745D">
            <w:pPr>
              <w:spacing w:after="0" w:line="240" w:lineRule="auto"/>
            </w:pPr>
            <w:r>
              <w:rPr>
                <w:rFonts w:ascii="微软雅黑" w:hAnsi="微软雅黑" w:eastAsia="微软雅黑" w:cs="微软雅黑"/>
                <w:b/>
                <w:sz w:val="17"/>
              </w:rPr>
              <w:t>要求</w:t>
            </w:r>
          </w:p>
        </w:tc>
        <w:tc>
          <w:tcPr>
            <w:tcW w:w="3286" w:type="dxa"/>
          </w:tcPr>
          <w:p w14:paraId="136CA50A">
            <w:pPr>
              <w:spacing w:after="0" w:line="240" w:lineRule="auto"/>
            </w:pPr>
            <w:r>
              <w:rPr>
                <w:rFonts w:ascii="微软雅黑" w:hAnsi="微软雅黑" w:eastAsia="微软雅黑" w:cs="微软雅黑"/>
                <w:b/>
                <w:sz w:val="17"/>
              </w:rPr>
              <w:t>核对岗位</w:t>
            </w:r>
          </w:p>
        </w:tc>
      </w:tr>
      <w:tr w14:paraId="3409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C5B3D1D">
            <w:pPr>
              <w:spacing w:after="0" w:line="240" w:lineRule="auto"/>
            </w:pPr>
            <w:r>
              <w:rPr>
                <w:rFonts w:ascii="微软雅黑" w:hAnsi="微软雅黑" w:eastAsia="微软雅黑" w:cs="微软雅黑"/>
                <w:b w:val="0"/>
                <w:sz w:val="17"/>
              </w:rPr>
              <w:t>分类</w:t>
            </w:r>
          </w:p>
        </w:tc>
        <w:tc>
          <w:tcPr>
            <w:tcW w:w="3286" w:type="dxa"/>
          </w:tcPr>
          <w:p w14:paraId="155A3E7D">
            <w:pPr>
              <w:spacing w:after="0" w:line="240" w:lineRule="auto"/>
            </w:pPr>
            <w:r>
              <w:rPr>
                <w:rFonts w:ascii="微软雅黑" w:hAnsi="微软雅黑" w:eastAsia="微软雅黑" w:cs="微软雅黑"/>
                <w:b w:val="0"/>
                <w:sz w:val="17"/>
              </w:rPr>
              <w:t>Genre已确认，Rock或Metal与页面主题一致</w:t>
            </w:r>
          </w:p>
        </w:tc>
        <w:tc>
          <w:tcPr>
            <w:tcW w:w="3286" w:type="dxa"/>
          </w:tcPr>
          <w:p w14:paraId="077FD3D8">
            <w:pPr>
              <w:spacing w:after="0" w:line="240" w:lineRule="auto"/>
            </w:pPr>
            <w:r>
              <w:rPr>
                <w:rFonts w:ascii="微软雅黑" w:hAnsi="微软雅黑" w:eastAsia="微软雅黑" w:cs="微软雅黑"/>
                <w:b w:val="0"/>
                <w:sz w:val="17"/>
              </w:rPr>
              <w:t>数据维护、商品内容</w:t>
            </w:r>
          </w:p>
        </w:tc>
      </w:tr>
      <w:tr w14:paraId="2A3A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6979612F">
            <w:pPr>
              <w:spacing w:after="0" w:line="240" w:lineRule="auto"/>
            </w:pPr>
            <w:r>
              <w:rPr>
                <w:rFonts w:ascii="微软雅黑" w:hAnsi="微软雅黑" w:eastAsia="微软雅黑" w:cs="微软雅黑"/>
                <w:b w:val="0"/>
                <w:sz w:val="17"/>
              </w:rPr>
              <w:t>媒体</w:t>
            </w:r>
          </w:p>
        </w:tc>
        <w:tc>
          <w:tcPr>
            <w:tcW w:w="3286" w:type="dxa"/>
          </w:tcPr>
          <w:p w14:paraId="271122D1">
            <w:pPr>
              <w:spacing w:after="0" w:line="240" w:lineRule="auto"/>
            </w:pPr>
            <w:r>
              <w:rPr>
                <w:rFonts w:ascii="微软雅黑" w:hAnsi="微软雅黑" w:eastAsia="微软雅黑" w:cs="微软雅黑"/>
                <w:b w:val="0"/>
                <w:sz w:val="17"/>
              </w:rPr>
              <w:t>MediaType属于音频范围</w:t>
            </w:r>
          </w:p>
        </w:tc>
        <w:tc>
          <w:tcPr>
            <w:tcW w:w="3286" w:type="dxa"/>
          </w:tcPr>
          <w:p w14:paraId="05F57BB0">
            <w:pPr>
              <w:spacing w:after="0" w:line="240" w:lineRule="auto"/>
            </w:pPr>
            <w:r>
              <w:rPr>
                <w:rFonts w:ascii="微软雅黑" w:hAnsi="微软雅黑" w:eastAsia="微软雅黑" w:cs="微软雅黑"/>
                <w:b w:val="0"/>
                <w:sz w:val="17"/>
              </w:rPr>
              <w:t>数据维护</w:t>
            </w:r>
          </w:p>
        </w:tc>
      </w:tr>
      <w:tr w14:paraId="1279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FE34C62">
            <w:pPr>
              <w:spacing w:after="0" w:line="240" w:lineRule="auto"/>
            </w:pPr>
            <w:r>
              <w:rPr>
                <w:rFonts w:ascii="微软雅黑" w:hAnsi="微软雅黑" w:eastAsia="微软雅黑" w:cs="微软雅黑"/>
                <w:b w:val="0"/>
                <w:sz w:val="17"/>
              </w:rPr>
              <w:t>信息</w:t>
            </w:r>
          </w:p>
        </w:tc>
        <w:tc>
          <w:tcPr>
            <w:tcW w:w="3286" w:type="dxa"/>
          </w:tcPr>
          <w:p w14:paraId="119AF9F4">
            <w:pPr>
              <w:spacing w:after="0" w:line="240" w:lineRule="auto"/>
            </w:pPr>
            <w:r>
              <w:rPr>
                <w:rFonts w:ascii="微软雅黑" w:hAnsi="微软雅黑" w:eastAsia="微软雅黑" w:cs="微软雅黑"/>
                <w:b w:val="0"/>
                <w:sz w:val="17"/>
              </w:rPr>
              <w:t>Track、Album、Artist名称完整</w:t>
            </w:r>
          </w:p>
        </w:tc>
        <w:tc>
          <w:tcPr>
            <w:tcW w:w="3286" w:type="dxa"/>
          </w:tcPr>
          <w:p w14:paraId="33F985F8">
            <w:pPr>
              <w:spacing w:after="0" w:line="240" w:lineRule="auto"/>
            </w:pPr>
            <w:r>
              <w:rPr>
                <w:rFonts w:ascii="微软雅黑" w:hAnsi="微软雅黑" w:eastAsia="微软雅黑" w:cs="微软雅黑"/>
                <w:b w:val="0"/>
                <w:sz w:val="17"/>
              </w:rPr>
              <w:t>商品内容</w:t>
            </w:r>
          </w:p>
        </w:tc>
      </w:tr>
      <w:tr w14:paraId="0D07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30481789">
            <w:pPr>
              <w:spacing w:after="0" w:line="240" w:lineRule="auto"/>
            </w:pPr>
            <w:r>
              <w:rPr>
                <w:rFonts w:ascii="微软雅黑" w:hAnsi="微软雅黑" w:eastAsia="微软雅黑" w:cs="微软雅黑"/>
                <w:b w:val="0"/>
                <w:sz w:val="17"/>
              </w:rPr>
              <w:t>事实</w:t>
            </w:r>
          </w:p>
        </w:tc>
        <w:tc>
          <w:tcPr>
            <w:tcW w:w="3286" w:type="dxa"/>
          </w:tcPr>
          <w:p w14:paraId="4742048D">
            <w:pPr>
              <w:spacing w:after="0" w:line="240" w:lineRule="auto"/>
            </w:pPr>
            <w:r>
              <w:rPr>
                <w:rFonts w:ascii="微软雅黑" w:hAnsi="微软雅黑" w:eastAsia="微软雅黑" w:cs="微软雅黑"/>
                <w:b w:val="0"/>
                <w:sz w:val="17"/>
              </w:rPr>
              <w:t>有成交记录或有明确主题来源</w:t>
            </w:r>
          </w:p>
        </w:tc>
        <w:tc>
          <w:tcPr>
            <w:tcW w:w="3286" w:type="dxa"/>
          </w:tcPr>
          <w:p w14:paraId="3CD0B82E">
            <w:pPr>
              <w:spacing w:after="0" w:line="240" w:lineRule="auto"/>
            </w:pPr>
            <w:r>
              <w:rPr>
                <w:rFonts w:ascii="微软雅黑" w:hAnsi="微软雅黑" w:eastAsia="微软雅黑" w:cs="微软雅黑"/>
                <w:b w:val="0"/>
                <w:sz w:val="17"/>
              </w:rPr>
              <w:t>经营分析、品类运营</w:t>
            </w:r>
          </w:p>
        </w:tc>
      </w:tr>
      <w:tr w14:paraId="5718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5C07FFFB">
            <w:pPr>
              <w:spacing w:after="0" w:line="240" w:lineRule="auto"/>
            </w:pPr>
            <w:r>
              <w:rPr>
                <w:rFonts w:ascii="微软雅黑" w:hAnsi="微软雅黑" w:eastAsia="微软雅黑" w:cs="微软雅黑"/>
                <w:b w:val="0"/>
                <w:sz w:val="17"/>
              </w:rPr>
              <w:t>页面</w:t>
            </w:r>
          </w:p>
        </w:tc>
        <w:tc>
          <w:tcPr>
            <w:tcW w:w="3286" w:type="dxa"/>
          </w:tcPr>
          <w:p w14:paraId="31771984">
            <w:pPr>
              <w:spacing w:after="0" w:line="240" w:lineRule="auto"/>
            </w:pPr>
            <w:r>
              <w:rPr>
                <w:rFonts w:ascii="微软雅黑" w:hAnsi="微软雅黑" w:eastAsia="微软雅黑" w:cs="微软雅黑"/>
                <w:b w:val="0"/>
                <w:sz w:val="17"/>
              </w:rPr>
              <w:t>有可使用的标题、封面或说明素材</w:t>
            </w:r>
          </w:p>
        </w:tc>
        <w:tc>
          <w:tcPr>
            <w:tcW w:w="3286" w:type="dxa"/>
          </w:tcPr>
          <w:p w14:paraId="5F5A2B75">
            <w:pPr>
              <w:spacing w:after="0" w:line="240" w:lineRule="auto"/>
            </w:pPr>
            <w:r>
              <w:rPr>
                <w:rFonts w:ascii="微软雅黑" w:hAnsi="微软雅黑" w:eastAsia="微软雅黑" w:cs="微软雅黑"/>
                <w:b w:val="0"/>
                <w:sz w:val="17"/>
              </w:rPr>
              <w:t>商品内容</w:t>
            </w:r>
          </w:p>
        </w:tc>
      </w:tr>
      <w:tr w14:paraId="7E25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B1EDC2D">
            <w:pPr>
              <w:spacing w:after="0" w:line="240" w:lineRule="auto"/>
            </w:pPr>
            <w:r>
              <w:rPr>
                <w:rFonts w:ascii="微软雅黑" w:hAnsi="微软雅黑" w:eastAsia="微软雅黑" w:cs="微软雅黑"/>
                <w:b w:val="0"/>
                <w:sz w:val="17"/>
              </w:rPr>
              <w:t>版本</w:t>
            </w:r>
          </w:p>
        </w:tc>
        <w:tc>
          <w:tcPr>
            <w:tcW w:w="3286" w:type="dxa"/>
          </w:tcPr>
          <w:p w14:paraId="024D895B">
            <w:pPr>
              <w:spacing w:after="0" w:line="240" w:lineRule="auto"/>
            </w:pPr>
            <w:r>
              <w:rPr>
                <w:rFonts w:ascii="微软雅黑" w:hAnsi="微软雅黑" w:eastAsia="微软雅黑" w:cs="微软雅黑"/>
                <w:b w:val="0"/>
                <w:sz w:val="17"/>
              </w:rPr>
              <w:t>商品清单和文案使用同一版本</w:t>
            </w:r>
          </w:p>
        </w:tc>
        <w:tc>
          <w:tcPr>
            <w:tcW w:w="3286" w:type="dxa"/>
          </w:tcPr>
          <w:p w14:paraId="39B22CA4">
            <w:pPr>
              <w:spacing w:after="0" w:line="240" w:lineRule="auto"/>
            </w:pPr>
            <w:r>
              <w:rPr>
                <w:rFonts w:ascii="微软雅黑" w:hAnsi="微软雅黑" w:eastAsia="微软雅黑" w:cs="微软雅黑"/>
                <w:b w:val="0"/>
                <w:sz w:val="17"/>
              </w:rPr>
              <w:t>运营协调</w:t>
            </w:r>
          </w:p>
        </w:tc>
      </w:tr>
    </w:tbl>
    <w:p w14:paraId="0DFCEEA6"/>
    <w:p w14:paraId="1881D56D">
      <w:pPr>
        <w:spacing w:after="140" w:line="300" w:lineRule="auto"/>
        <w:ind w:firstLine="312"/>
      </w:pPr>
      <w:r>
        <w:rPr>
          <w:rFonts w:ascii="微软雅黑" w:hAnsi="微软雅黑" w:eastAsia="微软雅黑" w:cs="微软雅黑"/>
          <w:b w:val="0"/>
          <w:sz w:val="20"/>
        </w:rPr>
        <w:t>商品池分为“已成交主推”“专辑延伸”“主题候选”“待核对”四类。待核对商品不进入正式页面；主题候选可以进入活动预览稿，但上线前要完成信息核对。</w:t>
      </w:r>
    </w:p>
    <w:p w14:paraId="1140AEC8">
      <w:pPr>
        <w:pStyle w:val="3"/>
        <w:jc w:val="left"/>
      </w:pPr>
      <w:r>
        <w:rPr>
          <w:rFonts w:ascii="微软雅黑" w:hAnsi="微软雅黑" w:eastAsia="微软雅黑" w:cs="微软雅黑"/>
          <w:b/>
          <w:sz w:val="30"/>
        </w:rPr>
        <w:t>四 商品池和页面结构</w:t>
      </w:r>
    </w:p>
    <w:p w14:paraId="18B5F687">
      <w:pPr>
        <w:spacing w:after="140" w:line="300" w:lineRule="auto"/>
        <w:ind w:firstLine="312"/>
      </w:pPr>
      <w:r>
        <w:rPr>
          <w:rFonts w:ascii="微软雅黑" w:hAnsi="微软雅黑" w:eastAsia="微软雅黑" w:cs="微软雅黑"/>
          <w:b w:val="0"/>
          <w:sz w:val="20"/>
        </w:rPr>
        <w:t>Rock主页面建议分为四个区域：本季度重点、经典专辑、Rock延伸选择、相关Metal。主页面不一次放入所有候选商品，每个区域由品类运营确定数量，商品内容负责说明顺序和文案。</w:t>
      </w:r>
    </w:p>
    <w:p w14:paraId="0395B2C3">
      <w:pPr>
        <w:pStyle w:val="4"/>
        <w:jc w:val="left"/>
      </w:pPr>
      <w:r>
        <w:rPr>
          <w:rFonts w:ascii="微软雅黑" w:hAnsi="微软雅黑" w:eastAsia="微软雅黑" w:cs="微软雅黑"/>
          <w:b/>
          <w:sz w:val="24"/>
        </w:rPr>
        <w:t>首批候选</w:t>
      </w:r>
    </w:p>
    <w:p w14:paraId="16859863">
      <w:pPr>
        <w:spacing w:after="140" w:line="300" w:lineRule="auto"/>
        <w:ind w:firstLine="312"/>
      </w:pPr>
      <w:r>
        <w:rPr>
          <w:rFonts w:ascii="微软雅黑" w:hAnsi="微软雅黑" w:eastAsia="微软雅黑" w:cs="微软雅黑"/>
          <w:b w:val="0"/>
          <w:sz w:val="20"/>
        </w:rPr>
        <w:t>第三季度Rock成交候选包括TrackId 1791《Down Under》、1793《Be Good Johnny》、1795《Down by the Sea》、1797《It's a Mistake》和1799《Shakes and Ladders》，均属于Men At Work的《The Best Of Men At Work》。这些商品作为一组专辑观察对象，不拆成五个互不关联的“爆款”。</w:t>
      </w:r>
    </w:p>
    <w:p w14:paraId="08C7154E">
      <w:pPr>
        <w:spacing w:after="140" w:line="300" w:lineRule="auto"/>
        <w:ind w:firstLine="312"/>
      </w:pPr>
      <w:r>
        <w:rPr>
          <w:rFonts w:ascii="微软雅黑" w:hAnsi="微软雅黑" w:eastAsia="微软雅黑" w:cs="微软雅黑"/>
          <w:b w:val="0"/>
          <w:sz w:val="20"/>
        </w:rPr>
        <w:t>Metal延伸候选包括TrackId 1803《Holier Than Thou》、1807《Through The Never》、1811《My Friend Of Misery》和1815《The Wait》，分别核对所属专辑和Genre:3。Metal页面文字写成“延伸选择”或“相关专辑”，不把Metal目标和Rock主题混成一个统计口径。</w:t>
      </w:r>
    </w:p>
    <w:p w14:paraId="0493F755">
      <w:pPr>
        <w:pStyle w:val="4"/>
        <w:jc w:val="left"/>
      </w:pPr>
      <w:r>
        <w:rPr>
          <w:rFonts w:ascii="微软雅黑" w:hAnsi="微软雅黑" w:eastAsia="微软雅黑" w:cs="微软雅黑"/>
          <w:b/>
          <w:sz w:val="24"/>
        </w:rPr>
        <w:t>页面信息</w:t>
      </w:r>
    </w:p>
    <w:p w14:paraId="637F4441">
      <w:pPr>
        <w:spacing w:after="140" w:line="300" w:lineRule="auto"/>
        <w:ind w:firstLine="312"/>
      </w:pPr>
      <w:r>
        <w:rPr>
          <w:rFonts w:ascii="微软雅黑" w:hAnsi="微软雅黑" w:eastAsia="微软雅黑" w:cs="微软雅黑"/>
          <w:b w:val="0"/>
          <w:sz w:val="20"/>
        </w:rPr>
        <w:t>页面标题写活动名称和活动周期，副标题写适用品类和音频范围。每个商品卡至少包含商品名、艺术家、专辑和标准品类；需要展示价格时使用目录价格，并标记为目录信息。页面底部保留资料版本和内容岗位联系方式，页面下线日期写入活动台账。</w:t>
      </w:r>
    </w:p>
    <w:p w14:paraId="2DF5C165">
      <w:pPr>
        <w:pStyle w:val="3"/>
        <w:jc w:val="left"/>
      </w:pPr>
      <w:r>
        <w:rPr>
          <w:rFonts w:ascii="微软雅黑" w:hAnsi="微软雅黑" w:eastAsia="微软雅黑" w:cs="微软雅黑"/>
          <w:b/>
          <w:sz w:val="30"/>
        </w:rPr>
        <w:t>五 客户范围和推荐安排</w:t>
      </w:r>
    </w:p>
    <w:p w14:paraId="4A8AA2FB">
      <w:pPr>
        <w:spacing w:after="140" w:line="300" w:lineRule="auto"/>
        <w:ind w:firstLine="312"/>
      </w:pPr>
      <w:r>
        <w:rPr>
          <w:rFonts w:ascii="微软雅黑" w:hAnsi="微软雅黑" w:eastAsia="微软雅黑" w:cs="微软雅黑"/>
          <w:b w:val="0"/>
          <w:sz w:val="20"/>
        </w:rPr>
        <w:t>客户范围由客户分层规则规则产生。客户支持先筛选观察期内购买过Genre:1或Genre:3的客户，再按客户层级、最近成交日期和订单数量整理工作清单。客户编号放在受控文件中，活动页面不展示客户信息。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3449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32092216">
            <w:pPr>
              <w:spacing w:after="0" w:line="240" w:lineRule="auto"/>
            </w:pPr>
            <w:r>
              <w:rPr>
                <w:rFonts w:ascii="微软雅黑" w:hAnsi="微软雅黑" w:eastAsia="微软雅黑" w:cs="微软雅黑"/>
                <w:b/>
                <w:sz w:val="17"/>
              </w:rPr>
              <w:t>客户范围</w:t>
            </w:r>
          </w:p>
        </w:tc>
        <w:tc>
          <w:tcPr>
            <w:tcW w:w="3286" w:type="dxa"/>
          </w:tcPr>
          <w:p w14:paraId="37D51A2D">
            <w:pPr>
              <w:spacing w:after="0" w:line="240" w:lineRule="auto"/>
            </w:pPr>
            <w:r>
              <w:rPr>
                <w:rFonts w:ascii="微软雅黑" w:hAnsi="微软雅黑" w:eastAsia="微软雅黑" w:cs="微软雅黑"/>
                <w:b/>
                <w:sz w:val="17"/>
              </w:rPr>
              <w:t>推荐内容</w:t>
            </w:r>
          </w:p>
        </w:tc>
        <w:tc>
          <w:tcPr>
            <w:tcW w:w="3286" w:type="dxa"/>
          </w:tcPr>
          <w:p w14:paraId="3F9D979E">
            <w:pPr>
              <w:spacing w:after="0" w:line="240" w:lineRule="auto"/>
            </w:pPr>
            <w:r>
              <w:rPr>
                <w:rFonts w:ascii="微软雅黑" w:hAnsi="微软雅黑" w:eastAsia="微软雅黑" w:cs="微软雅黑"/>
                <w:b/>
                <w:sz w:val="17"/>
              </w:rPr>
              <w:t>触达说明</w:t>
            </w:r>
          </w:p>
        </w:tc>
      </w:tr>
      <w:tr w14:paraId="38D6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DAADCF6">
            <w:pPr>
              <w:spacing w:after="0" w:line="240" w:lineRule="auto"/>
            </w:pPr>
            <w:r>
              <w:rPr>
                <w:rFonts w:ascii="微软雅黑" w:hAnsi="微软雅黑" w:eastAsia="微软雅黑" w:cs="微软雅黑"/>
                <w:b w:val="0"/>
                <w:sz w:val="17"/>
              </w:rPr>
              <w:t>重点维护客户</w:t>
            </w:r>
          </w:p>
        </w:tc>
        <w:tc>
          <w:tcPr>
            <w:tcW w:w="3286" w:type="dxa"/>
          </w:tcPr>
          <w:p w14:paraId="0943F038">
            <w:pPr>
              <w:spacing w:after="0" w:line="240" w:lineRule="auto"/>
            </w:pPr>
            <w:r>
              <w:rPr>
                <w:rFonts w:ascii="微软雅黑" w:hAnsi="微软雅黑" w:eastAsia="微软雅黑" w:cs="微软雅黑"/>
                <w:b w:val="0"/>
                <w:sz w:val="17"/>
              </w:rPr>
              <w:t>Rock主页面和同专辑延伸</w:t>
            </w:r>
          </w:p>
        </w:tc>
        <w:tc>
          <w:tcPr>
            <w:tcW w:w="3286" w:type="dxa"/>
          </w:tcPr>
          <w:p w14:paraId="4470DC2C">
            <w:pPr>
              <w:spacing w:after="0" w:line="240" w:lineRule="auto"/>
            </w:pPr>
            <w:r>
              <w:rPr>
                <w:rFonts w:ascii="微软雅黑" w:hAnsi="微软雅黑" w:eastAsia="微软雅黑" w:cs="微软雅黑"/>
                <w:b w:val="0"/>
                <w:sz w:val="17"/>
              </w:rPr>
              <w:t>优先安排，记录日期和处理人</w:t>
            </w:r>
          </w:p>
        </w:tc>
      </w:tr>
      <w:tr w14:paraId="7F82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726C277">
            <w:pPr>
              <w:spacing w:after="0" w:line="240" w:lineRule="auto"/>
            </w:pPr>
            <w:r>
              <w:rPr>
                <w:rFonts w:ascii="微软雅黑" w:hAnsi="微软雅黑" w:eastAsia="微软雅黑" w:cs="微软雅黑"/>
                <w:b w:val="0"/>
                <w:sz w:val="17"/>
              </w:rPr>
              <w:t>稳定维护客户</w:t>
            </w:r>
          </w:p>
        </w:tc>
        <w:tc>
          <w:tcPr>
            <w:tcW w:w="3286" w:type="dxa"/>
          </w:tcPr>
          <w:p w14:paraId="51E285D6">
            <w:pPr>
              <w:spacing w:after="0" w:line="240" w:lineRule="auto"/>
            </w:pPr>
            <w:r>
              <w:rPr>
                <w:rFonts w:ascii="微软雅黑" w:hAnsi="微软雅黑" w:eastAsia="微软雅黑" w:cs="微软雅黑"/>
                <w:b w:val="0"/>
                <w:sz w:val="17"/>
              </w:rPr>
              <w:t>已购买品类的延伸商品</w:t>
            </w:r>
          </w:p>
        </w:tc>
        <w:tc>
          <w:tcPr>
            <w:tcW w:w="3286" w:type="dxa"/>
          </w:tcPr>
          <w:p w14:paraId="69A82670">
            <w:pPr>
              <w:spacing w:after="0" w:line="240" w:lineRule="auto"/>
            </w:pPr>
            <w:r>
              <w:rPr>
                <w:rFonts w:ascii="微软雅黑" w:hAnsi="微软雅黑" w:eastAsia="微软雅黑" w:cs="微软雅黑"/>
                <w:b w:val="0"/>
                <w:sz w:val="17"/>
              </w:rPr>
              <w:t>按客户已有品类匹配</w:t>
            </w:r>
          </w:p>
        </w:tc>
      </w:tr>
      <w:tr w14:paraId="348E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14C56E5">
            <w:pPr>
              <w:spacing w:after="0" w:line="240" w:lineRule="auto"/>
            </w:pPr>
            <w:r>
              <w:rPr>
                <w:rFonts w:ascii="微软雅黑" w:hAnsi="微软雅黑" w:eastAsia="微软雅黑" w:cs="微软雅黑"/>
                <w:b w:val="0"/>
                <w:sz w:val="17"/>
              </w:rPr>
              <w:t>观察维护客户</w:t>
            </w:r>
          </w:p>
        </w:tc>
        <w:tc>
          <w:tcPr>
            <w:tcW w:w="3286" w:type="dxa"/>
          </w:tcPr>
          <w:p w14:paraId="715C4BB7">
            <w:pPr>
              <w:spacing w:after="0" w:line="240" w:lineRule="auto"/>
            </w:pPr>
            <w:r>
              <w:rPr>
                <w:rFonts w:ascii="微软雅黑" w:hAnsi="微软雅黑" w:eastAsia="微软雅黑" w:cs="微软雅黑"/>
                <w:b w:val="0"/>
                <w:sz w:val="17"/>
              </w:rPr>
              <w:t>少量主题候选</w:t>
            </w:r>
          </w:p>
        </w:tc>
        <w:tc>
          <w:tcPr>
            <w:tcW w:w="3286" w:type="dxa"/>
          </w:tcPr>
          <w:p w14:paraId="1A68298F">
            <w:pPr>
              <w:spacing w:after="0" w:line="240" w:lineRule="auto"/>
            </w:pPr>
            <w:r>
              <w:rPr>
                <w:rFonts w:ascii="微软雅黑" w:hAnsi="微软雅黑" w:eastAsia="微软雅黑" w:cs="微软雅黑"/>
                <w:b w:val="0"/>
                <w:sz w:val="17"/>
              </w:rPr>
              <w:t>先记录，避免连续重复触达</w:t>
            </w:r>
          </w:p>
        </w:tc>
      </w:tr>
      <w:tr w14:paraId="2DEA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8C9CA50">
            <w:pPr>
              <w:spacing w:after="0" w:line="240" w:lineRule="auto"/>
            </w:pPr>
            <w:r>
              <w:rPr>
                <w:rFonts w:ascii="微软雅黑" w:hAnsi="微软雅黑" w:eastAsia="微软雅黑" w:cs="微软雅黑"/>
                <w:b w:val="0"/>
                <w:sz w:val="17"/>
              </w:rPr>
              <w:t>资料待核对客户</w:t>
            </w:r>
          </w:p>
        </w:tc>
        <w:tc>
          <w:tcPr>
            <w:tcW w:w="3286" w:type="dxa"/>
          </w:tcPr>
          <w:p w14:paraId="7EBB1108">
            <w:pPr>
              <w:spacing w:after="0" w:line="240" w:lineRule="auto"/>
            </w:pPr>
            <w:r>
              <w:rPr>
                <w:rFonts w:ascii="微软雅黑" w:hAnsi="微软雅黑" w:eastAsia="微软雅黑" w:cs="微软雅黑"/>
                <w:b w:val="0"/>
                <w:sz w:val="17"/>
              </w:rPr>
              <w:t>暂不发送</w:t>
            </w:r>
          </w:p>
        </w:tc>
        <w:tc>
          <w:tcPr>
            <w:tcW w:w="3286" w:type="dxa"/>
          </w:tcPr>
          <w:p w14:paraId="3B438127">
            <w:pPr>
              <w:spacing w:after="0" w:line="240" w:lineRule="auto"/>
            </w:pPr>
            <w:r>
              <w:rPr>
                <w:rFonts w:ascii="微软雅黑" w:hAnsi="微软雅黑" w:eastAsia="微软雅黑" w:cs="微软雅黑"/>
                <w:b w:val="0"/>
                <w:sz w:val="17"/>
              </w:rPr>
              <w:t>等客户或订单资料核对完成</w:t>
            </w:r>
          </w:p>
        </w:tc>
      </w:tr>
    </w:tbl>
    <w:p w14:paraId="30946C30"/>
    <w:p w14:paraId="14620A7B">
      <w:pPr>
        <w:spacing w:after="140" w:line="300" w:lineRule="auto"/>
        <w:ind w:firstLine="312"/>
      </w:pPr>
      <w:r>
        <w:rPr>
          <w:rFonts w:ascii="微软雅黑" w:hAnsi="微软雅黑" w:eastAsia="微软雅黑" w:cs="微软雅黑"/>
          <w:b w:val="0"/>
          <w:sz w:val="20"/>
        </w:rPr>
        <w:t>客户触达记录写明客户编号、品类、商品范围、日期、方式和状态。状态使用客户分层规则规定的待准备、已提交、已联系、已反馈、待核对、已归档。没有打开和点击数据时，只记录提交或联系，不填写转化结果。</w:t>
      </w:r>
    </w:p>
    <w:p w14:paraId="78DED760">
      <w:pPr>
        <w:pStyle w:val="3"/>
        <w:jc w:val="left"/>
      </w:pPr>
      <w:r>
        <w:rPr>
          <w:rFonts w:ascii="微软雅黑" w:hAnsi="微软雅黑" w:eastAsia="微软雅黑" w:cs="微软雅黑"/>
          <w:b/>
          <w:sz w:val="30"/>
        </w:rPr>
        <w:t>六 执行排期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1D7A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3A79C14E">
            <w:pPr>
              <w:spacing w:after="0" w:line="240" w:lineRule="auto"/>
            </w:pPr>
            <w:r>
              <w:rPr>
                <w:rFonts w:ascii="微软雅黑" w:hAnsi="微软雅黑" w:eastAsia="微软雅黑" w:cs="微软雅黑"/>
                <w:b/>
                <w:sz w:val="17"/>
              </w:rPr>
              <w:t>日期</w:t>
            </w:r>
          </w:p>
        </w:tc>
        <w:tc>
          <w:tcPr>
            <w:tcW w:w="2464" w:type="dxa"/>
          </w:tcPr>
          <w:p w14:paraId="3B5FF36D">
            <w:pPr>
              <w:spacing w:after="0" w:line="240" w:lineRule="auto"/>
            </w:pPr>
            <w:r>
              <w:rPr>
                <w:rFonts w:ascii="微软雅黑" w:hAnsi="微软雅黑" w:eastAsia="微软雅黑" w:cs="微软雅黑"/>
                <w:b/>
                <w:sz w:val="17"/>
              </w:rPr>
              <w:t>工作内容</w:t>
            </w:r>
          </w:p>
        </w:tc>
        <w:tc>
          <w:tcPr>
            <w:tcW w:w="2464" w:type="dxa"/>
          </w:tcPr>
          <w:p w14:paraId="7639A9B9">
            <w:pPr>
              <w:spacing w:after="0" w:line="240" w:lineRule="auto"/>
            </w:pPr>
            <w:r>
              <w:rPr>
                <w:rFonts w:ascii="微软雅黑" w:hAnsi="微软雅黑" w:eastAsia="微软雅黑" w:cs="微软雅黑"/>
                <w:b/>
                <w:sz w:val="17"/>
              </w:rPr>
              <w:t>责任岗位</w:t>
            </w:r>
          </w:p>
        </w:tc>
        <w:tc>
          <w:tcPr>
            <w:tcW w:w="2464" w:type="dxa"/>
          </w:tcPr>
          <w:p w14:paraId="44F38310">
            <w:pPr>
              <w:spacing w:after="0" w:line="240" w:lineRule="auto"/>
            </w:pPr>
            <w:r>
              <w:rPr>
                <w:rFonts w:ascii="微软雅黑" w:hAnsi="微软雅黑" w:eastAsia="微软雅黑" w:cs="微软雅黑"/>
                <w:b/>
                <w:sz w:val="17"/>
              </w:rPr>
              <w:t>交付物</w:t>
            </w:r>
          </w:p>
        </w:tc>
      </w:tr>
      <w:tr w14:paraId="4F4F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631AD0FB">
            <w:pPr>
              <w:spacing w:after="0" w:line="240" w:lineRule="auto"/>
            </w:pPr>
            <w:r>
              <w:rPr>
                <w:rFonts w:ascii="微软雅黑" w:hAnsi="微软雅黑" w:eastAsia="微软雅黑" w:cs="微软雅黑"/>
                <w:b w:val="0"/>
                <w:sz w:val="17"/>
              </w:rPr>
              <w:t>10月10日前</w:t>
            </w:r>
          </w:p>
        </w:tc>
        <w:tc>
          <w:tcPr>
            <w:tcW w:w="2464" w:type="dxa"/>
          </w:tcPr>
          <w:p w14:paraId="56B2FB2C">
            <w:pPr>
              <w:spacing w:after="0" w:line="240" w:lineRule="auto"/>
            </w:pPr>
            <w:r>
              <w:rPr>
                <w:rFonts w:ascii="微软雅黑" w:hAnsi="微软雅黑" w:eastAsia="微软雅黑" w:cs="微软雅黑"/>
                <w:b w:val="0"/>
                <w:sz w:val="17"/>
              </w:rPr>
              <w:t>确认活动范围和商品池字段</w:t>
            </w:r>
          </w:p>
        </w:tc>
        <w:tc>
          <w:tcPr>
            <w:tcW w:w="2464" w:type="dxa"/>
          </w:tcPr>
          <w:p w14:paraId="523573AD">
            <w:pPr>
              <w:spacing w:after="0" w:line="240" w:lineRule="auto"/>
            </w:pPr>
            <w:r>
              <w:rPr>
                <w:rFonts w:ascii="微软雅黑" w:hAnsi="微软雅黑" w:eastAsia="微软雅黑" w:cs="微软雅黑"/>
                <w:b w:val="0"/>
                <w:sz w:val="17"/>
              </w:rPr>
              <w:t>经营分析、数据维护</w:t>
            </w:r>
          </w:p>
        </w:tc>
        <w:tc>
          <w:tcPr>
            <w:tcW w:w="2464" w:type="dxa"/>
          </w:tcPr>
          <w:p w14:paraId="41ABB754">
            <w:pPr>
              <w:spacing w:after="0" w:line="240" w:lineRule="auto"/>
            </w:pPr>
            <w:r>
              <w:rPr>
                <w:rFonts w:ascii="微软雅黑" w:hAnsi="微软雅黑" w:eastAsia="微软雅黑" w:cs="微软雅黑"/>
                <w:b w:val="0"/>
                <w:sz w:val="17"/>
              </w:rPr>
              <w:t>范围核对记录</w:t>
            </w:r>
          </w:p>
        </w:tc>
      </w:tr>
      <w:tr w14:paraId="745A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574D3C08">
            <w:pPr>
              <w:spacing w:after="0" w:line="240" w:lineRule="auto"/>
            </w:pPr>
            <w:r>
              <w:rPr>
                <w:rFonts w:ascii="微软雅黑" w:hAnsi="微软雅黑" w:eastAsia="微软雅黑" w:cs="微软雅黑"/>
                <w:b w:val="0"/>
                <w:sz w:val="17"/>
              </w:rPr>
              <w:t>10月13日前</w:t>
            </w:r>
          </w:p>
        </w:tc>
        <w:tc>
          <w:tcPr>
            <w:tcW w:w="2464" w:type="dxa"/>
          </w:tcPr>
          <w:p w14:paraId="1EEF9567">
            <w:pPr>
              <w:spacing w:after="0" w:line="240" w:lineRule="auto"/>
            </w:pPr>
            <w:r>
              <w:rPr>
                <w:rFonts w:ascii="微软雅黑" w:hAnsi="微软雅黑" w:eastAsia="微软雅黑" w:cs="微软雅黑"/>
                <w:b w:val="0"/>
                <w:sz w:val="17"/>
              </w:rPr>
              <w:t>完成商品候选和待核对清单</w:t>
            </w:r>
          </w:p>
        </w:tc>
        <w:tc>
          <w:tcPr>
            <w:tcW w:w="2464" w:type="dxa"/>
          </w:tcPr>
          <w:p w14:paraId="636F807A">
            <w:pPr>
              <w:spacing w:after="0" w:line="240" w:lineRule="auto"/>
            </w:pPr>
            <w:r>
              <w:rPr>
                <w:rFonts w:ascii="微软雅黑" w:hAnsi="微软雅黑" w:eastAsia="微软雅黑" w:cs="微软雅黑"/>
                <w:b w:val="0"/>
                <w:sz w:val="17"/>
              </w:rPr>
              <w:t>品类运营、商品内容</w:t>
            </w:r>
          </w:p>
        </w:tc>
        <w:tc>
          <w:tcPr>
            <w:tcW w:w="2464" w:type="dxa"/>
          </w:tcPr>
          <w:p w14:paraId="40A95016">
            <w:pPr>
              <w:spacing w:after="0" w:line="240" w:lineRule="auto"/>
            </w:pPr>
            <w:r>
              <w:rPr>
                <w:rFonts w:ascii="微软雅黑" w:hAnsi="微软雅黑" w:eastAsia="微软雅黑" w:cs="微软雅黑"/>
                <w:b w:val="0"/>
                <w:sz w:val="17"/>
              </w:rPr>
              <w:t>候选清单V1.0</w:t>
            </w:r>
          </w:p>
        </w:tc>
      </w:tr>
      <w:tr w14:paraId="235A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35FC742F">
            <w:pPr>
              <w:spacing w:after="0" w:line="240" w:lineRule="auto"/>
            </w:pPr>
            <w:r>
              <w:rPr>
                <w:rFonts w:ascii="微软雅黑" w:hAnsi="微软雅黑" w:eastAsia="微软雅黑" w:cs="微软雅黑"/>
                <w:b w:val="0"/>
                <w:sz w:val="17"/>
              </w:rPr>
              <w:t>10月15日前</w:t>
            </w:r>
          </w:p>
        </w:tc>
        <w:tc>
          <w:tcPr>
            <w:tcW w:w="2464" w:type="dxa"/>
          </w:tcPr>
          <w:p w14:paraId="556C1C6C">
            <w:pPr>
              <w:spacing w:after="0" w:line="240" w:lineRule="auto"/>
            </w:pPr>
            <w:r>
              <w:rPr>
                <w:rFonts w:ascii="微软雅黑" w:hAnsi="微软雅黑" w:eastAsia="微软雅黑" w:cs="微软雅黑"/>
                <w:b w:val="0"/>
                <w:sz w:val="17"/>
              </w:rPr>
              <w:t>完成页面稿和素材审核</w:t>
            </w:r>
          </w:p>
        </w:tc>
        <w:tc>
          <w:tcPr>
            <w:tcW w:w="2464" w:type="dxa"/>
          </w:tcPr>
          <w:p w14:paraId="24EF18FB">
            <w:pPr>
              <w:spacing w:after="0" w:line="240" w:lineRule="auto"/>
            </w:pPr>
            <w:r>
              <w:rPr>
                <w:rFonts w:ascii="微软雅黑" w:hAnsi="微软雅黑" w:eastAsia="微软雅黑" w:cs="微软雅黑"/>
                <w:b w:val="0"/>
                <w:sz w:val="17"/>
              </w:rPr>
              <w:t>商品内容</w:t>
            </w:r>
          </w:p>
        </w:tc>
        <w:tc>
          <w:tcPr>
            <w:tcW w:w="2464" w:type="dxa"/>
          </w:tcPr>
          <w:p w14:paraId="4B406AF8">
            <w:pPr>
              <w:spacing w:after="0" w:line="240" w:lineRule="auto"/>
            </w:pPr>
            <w:r>
              <w:rPr>
                <w:rFonts w:ascii="微软雅黑" w:hAnsi="微软雅黑" w:eastAsia="微软雅黑" w:cs="微软雅黑"/>
                <w:b w:val="0"/>
                <w:sz w:val="17"/>
              </w:rPr>
              <w:t>页面稿V1.0</w:t>
            </w:r>
          </w:p>
        </w:tc>
      </w:tr>
      <w:tr w14:paraId="34D8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10711308">
            <w:pPr>
              <w:spacing w:after="0" w:line="240" w:lineRule="auto"/>
            </w:pPr>
            <w:r>
              <w:rPr>
                <w:rFonts w:ascii="微软雅黑" w:hAnsi="微软雅黑" w:eastAsia="微软雅黑" w:cs="微软雅黑"/>
                <w:b w:val="0"/>
                <w:sz w:val="17"/>
              </w:rPr>
              <w:t>10月17日前</w:t>
            </w:r>
          </w:p>
        </w:tc>
        <w:tc>
          <w:tcPr>
            <w:tcW w:w="2464" w:type="dxa"/>
          </w:tcPr>
          <w:p w14:paraId="47486CA3">
            <w:pPr>
              <w:spacing w:after="0" w:line="240" w:lineRule="auto"/>
            </w:pPr>
            <w:r>
              <w:rPr>
                <w:rFonts w:ascii="微软雅黑" w:hAnsi="微软雅黑" w:eastAsia="微软雅黑" w:cs="微软雅黑"/>
                <w:b w:val="0"/>
                <w:sz w:val="17"/>
              </w:rPr>
              <w:t>完成客户清单和触达安排</w:t>
            </w:r>
          </w:p>
        </w:tc>
        <w:tc>
          <w:tcPr>
            <w:tcW w:w="2464" w:type="dxa"/>
          </w:tcPr>
          <w:p w14:paraId="2096EFBE">
            <w:pPr>
              <w:spacing w:after="0" w:line="240" w:lineRule="auto"/>
            </w:pPr>
            <w:r>
              <w:rPr>
                <w:rFonts w:ascii="微软雅黑" w:hAnsi="微软雅黑" w:eastAsia="微软雅黑" w:cs="微软雅黑"/>
                <w:b w:val="0"/>
                <w:sz w:val="17"/>
              </w:rPr>
              <w:t>客户支持</w:t>
            </w:r>
          </w:p>
        </w:tc>
        <w:tc>
          <w:tcPr>
            <w:tcW w:w="2464" w:type="dxa"/>
          </w:tcPr>
          <w:p w14:paraId="30120816">
            <w:pPr>
              <w:spacing w:after="0" w:line="240" w:lineRule="auto"/>
            </w:pPr>
            <w:r>
              <w:rPr>
                <w:rFonts w:ascii="微软雅黑" w:hAnsi="微软雅黑" w:eastAsia="微软雅黑" w:cs="微软雅黑"/>
                <w:b w:val="0"/>
                <w:sz w:val="17"/>
              </w:rPr>
              <w:t>客户工作清单</w:t>
            </w:r>
          </w:p>
        </w:tc>
      </w:tr>
      <w:tr w14:paraId="7C04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63E16629">
            <w:pPr>
              <w:spacing w:after="0" w:line="240" w:lineRule="auto"/>
            </w:pPr>
            <w:r>
              <w:rPr>
                <w:rFonts w:ascii="微软雅黑" w:hAnsi="微软雅黑" w:eastAsia="微软雅黑" w:cs="微软雅黑"/>
                <w:b w:val="0"/>
                <w:sz w:val="17"/>
              </w:rPr>
              <w:t>10月20日</w:t>
            </w:r>
          </w:p>
        </w:tc>
        <w:tc>
          <w:tcPr>
            <w:tcW w:w="2464" w:type="dxa"/>
          </w:tcPr>
          <w:p w14:paraId="3994A4D1">
            <w:pPr>
              <w:spacing w:after="0" w:line="240" w:lineRule="auto"/>
            </w:pPr>
            <w:r>
              <w:rPr>
                <w:rFonts w:ascii="微软雅黑" w:hAnsi="微软雅黑" w:eastAsia="微软雅黑" w:cs="微软雅黑"/>
                <w:b w:val="0"/>
                <w:sz w:val="17"/>
              </w:rPr>
              <w:t>页面上线并登记上线版本</w:t>
            </w:r>
          </w:p>
        </w:tc>
        <w:tc>
          <w:tcPr>
            <w:tcW w:w="2464" w:type="dxa"/>
          </w:tcPr>
          <w:p w14:paraId="0D791361">
            <w:pPr>
              <w:spacing w:after="0" w:line="240" w:lineRule="auto"/>
            </w:pPr>
            <w:r>
              <w:rPr>
                <w:rFonts w:ascii="微软雅黑" w:hAnsi="微软雅黑" w:eastAsia="微软雅黑" w:cs="微软雅黑"/>
                <w:b w:val="0"/>
                <w:sz w:val="17"/>
              </w:rPr>
              <w:t>运营协调</w:t>
            </w:r>
          </w:p>
        </w:tc>
        <w:tc>
          <w:tcPr>
            <w:tcW w:w="2464" w:type="dxa"/>
          </w:tcPr>
          <w:p w14:paraId="59FDCC7C">
            <w:pPr>
              <w:spacing w:after="0" w:line="240" w:lineRule="auto"/>
            </w:pPr>
            <w:r>
              <w:rPr>
                <w:rFonts w:ascii="微软雅黑" w:hAnsi="微软雅黑" w:eastAsia="微软雅黑" w:cs="微软雅黑"/>
                <w:b w:val="0"/>
                <w:sz w:val="17"/>
              </w:rPr>
              <w:t>上线记录</w:t>
            </w:r>
          </w:p>
        </w:tc>
      </w:tr>
      <w:tr w14:paraId="323C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265589ED">
            <w:pPr>
              <w:spacing w:after="0" w:line="240" w:lineRule="auto"/>
            </w:pPr>
            <w:r>
              <w:rPr>
                <w:rFonts w:ascii="微软雅黑" w:hAnsi="微软雅黑" w:eastAsia="微软雅黑" w:cs="微软雅黑"/>
                <w:b w:val="0"/>
                <w:sz w:val="17"/>
              </w:rPr>
              <w:t>10月20日至11月2日</w:t>
            </w:r>
          </w:p>
        </w:tc>
        <w:tc>
          <w:tcPr>
            <w:tcW w:w="2464" w:type="dxa"/>
          </w:tcPr>
          <w:p w14:paraId="1AA69234">
            <w:pPr>
              <w:spacing w:after="0" w:line="240" w:lineRule="auto"/>
            </w:pPr>
            <w:r>
              <w:rPr>
                <w:rFonts w:ascii="微软雅黑" w:hAnsi="微软雅黑" w:eastAsia="微软雅黑" w:cs="微软雅黑"/>
                <w:b w:val="0"/>
                <w:sz w:val="17"/>
              </w:rPr>
              <w:t>每周记录实际值和动作状态</w:t>
            </w:r>
          </w:p>
        </w:tc>
        <w:tc>
          <w:tcPr>
            <w:tcW w:w="2464" w:type="dxa"/>
          </w:tcPr>
          <w:p w14:paraId="7DDAEC36">
            <w:pPr>
              <w:spacing w:after="0" w:line="240" w:lineRule="auto"/>
            </w:pPr>
            <w:r>
              <w:rPr>
                <w:rFonts w:ascii="微软雅黑" w:hAnsi="微软雅黑" w:eastAsia="微软雅黑" w:cs="微软雅黑"/>
                <w:b w:val="0"/>
                <w:sz w:val="17"/>
              </w:rPr>
              <w:t>全体岗位</w:t>
            </w:r>
          </w:p>
        </w:tc>
        <w:tc>
          <w:tcPr>
            <w:tcW w:w="2464" w:type="dxa"/>
          </w:tcPr>
          <w:p w14:paraId="3A79011C">
            <w:pPr>
              <w:spacing w:after="0" w:line="240" w:lineRule="auto"/>
            </w:pPr>
            <w:r>
              <w:rPr>
                <w:rFonts w:ascii="微软雅黑" w:hAnsi="微软雅黑" w:eastAsia="微软雅黑" w:cs="微软雅黑"/>
                <w:b w:val="0"/>
                <w:sz w:val="17"/>
              </w:rPr>
              <w:t>周跟进记录</w:t>
            </w:r>
          </w:p>
        </w:tc>
      </w:tr>
      <w:tr w14:paraId="0FE1D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5186E9D5">
            <w:pPr>
              <w:spacing w:after="0" w:line="240" w:lineRule="auto"/>
            </w:pPr>
            <w:r>
              <w:rPr>
                <w:rFonts w:ascii="微软雅黑" w:hAnsi="微软雅黑" w:eastAsia="微软雅黑" w:cs="微软雅黑"/>
                <w:b w:val="0"/>
                <w:sz w:val="17"/>
              </w:rPr>
              <w:t>11月3日至11月7日</w:t>
            </w:r>
          </w:p>
        </w:tc>
        <w:tc>
          <w:tcPr>
            <w:tcW w:w="2464" w:type="dxa"/>
          </w:tcPr>
          <w:p w14:paraId="2BBB1B52">
            <w:pPr>
              <w:spacing w:after="0" w:line="240" w:lineRule="auto"/>
            </w:pPr>
            <w:r>
              <w:rPr>
                <w:rFonts w:ascii="微软雅黑" w:hAnsi="微软雅黑" w:eastAsia="微软雅黑" w:cs="微软雅黑"/>
                <w:b w:val="0"/>
                <w:sz w:val="17"/>
              </w:rPr>
              <w:t>汇总活动周期数据并复盘</w:t>
            </w:r>
          </w:p>
        </w:tc>
        <w:tc>
          <w:tcPr>
            <w:tcW w:w="2464" w:type="dxa"/>
          </w:tcPr>
          <w:p w14:paraId="134C79EC">
            <w:pPr>
              <w:spacing w:after="0" w:line="240" w:lineRule="auto"/>
            </w:pPr>
            <w:r>
              <w:rPr>
                <w:rFonts w:ascii="微软雅黑" w:hAnsi="微软雅黑" w:eastAsia="微软雅黑" w:cs="微软雅黑"/>
                <w:b w:val="0"/>
                <w:sz w:val="17"/>
              </w:rPr>
              <w:t>经营分析</w:t>
            </w:r>
          </w:p>
        </w:tc>
        <w:tc>
          <w:tcPr>
            <w:tcW w:w="2464" w:type="dxa"/>
          </w:tcPr>
          <w:p w14:paraId="17037DBC">
            <w:pPr>
              <w:spacing w:after="0" w:line="240" w:lineRule="auto"/>
            </w:pPr>
            <w:r>
              <w:rPr>
                <w:rFonts w:ascii="微软雅黑" w:hAnsi="微软雅黑" w:eastAsia="微软雅黑" w:cs="微软雅黑"/>
                <w:b w:val="0"/>
                <w:sz w:val="17"/>
              </w:rPr>
              <w:t>活动复盘稿</w:t>
            </w:r>
          </w:p>
        </w:tc>
      </w:tr>
    </w:tbl>
    <w:p w14:paraId="5D9E235B"/>
    <w:p w14:paraId="4E4BA438">
      <w:pPr>
        <w:spacing w:after="140" w:line="300" w:lineRule="auto"/>
        <w:ind w:firstLine="312"/>
      </w:pPr>
      <w:r>
        <w:rPr>
          <w:rFonts w:ascii="微软雅黑" w:hAnsi="微软雅黑" w:eastAsia="微软雅黑" w:cs="微软雅黑"/>
          <w:b w:val="0"/>
          <w:sz w:val="20"/>
        </w:rPr>
        <w:t>如果商品或素材未按计划准备好，先从待核对清单中移除，不临时使用未经确认的商品。上线日期可以调整，但活动台账中保留原计划、调整原因和新日期。</w:t>
      </w:r>
    </w:p>
    <w:p w14:paraId="4C4571E7">
      <w:pPr>
        <w:pStyle w:val="3"/>
        <w:jc w:val="left"/>
      </w:pPr>
      <w:r>
        <w:rPr>
          <w:rFonts w:ascii="微软雅黑" w:hAnsi="微软雅黑" w:eastAsia="微软雅黑" w:cs="微软雅黑"/>
          <w:b/>
          <w:sz w:val="30"/>
        </w:rPr>
        <w:t>七 岗位协作</w:t>
      </w:r>
    </w:p>
    <w:p w14:paraId="2132A4BF">
      <w:pPr>
        <w:spacing w:after="140" w:line="300" w:lineRule="auto"/>
        <w:ind w:firstLine="312"/>
      </w:pPr>
      <w:r>
        <w:rPr>
          <w:rFonts w:ascii="微软雅黑" w:hAnsi="微软雅黑" w:eastAsia="微软雅黑" w:cs="微软雅黑"/>
          <w:b w:val="0"/>
          <w:sz w:val="20"/>
        </w:rPr>
        <w:t>品类运营负责活动主题、主推顺序和页面数量；商品内容负责名称、专辑、艺术家、Genre、素材和文案；经营分析负责活动前后汇总、查询条件、金额和销量；客户支持负责客户清单和触达状态；数据维护负责字段、分类、媒体类型和重复连接；运营协调负责版本、会议和归档。</w:t>
      </w:r>
    </w:p>
    <w:p w14:paraId="6A74EE02">
      <w:pPr>
        <w:spacing w:after="140" w:line="300" w:lineRule="auto"/>
        <w:ind w:firstLine="312"/>
      </w:pPr>
      <w:r>
        <w:rPr>
          <w:rFonts w:ascii="微软雅黑" w:hAnsi="微软雅黑" w:eastAsia="微软雅黑" w:cs="微软雅黑"/>
          <w:b w:val="0"/>
          <w:sz w:val="20"/>
        </w:rPr>
        <w:t>活动期间遇到“Rock是否包括Rock And Roll”“音乐是否包括视频”“某商品属于什么类型”等问题，先按分类说明范围说明处理。遇到客户层级和触达问题，按客户分层规则处理。遇到商品动作和周跟踪问题，按品类手册处理。不同岗位记录有差异时，先暂停发布，记录差异后由业务负责人确认。</w:t>
      </w:r>
    </w:p>
    <w:p w14:paraId="499DFF0F">
      <w:pPr>
        <w:pStyle w:val="3"/>
        <w:jc w:val="left"/>
      </w:pPr>
      <w:r>
        <w:rPr>
          <w:rFonts w:ascii="微软雅黑" w:hAnsi="微软雅黑" w:eastAsia="微软雅黑" w:cs="微软雅黑"/>
          <w:b/>
          <w:sz w:val="30"/>
        </w:rPr>
        <w:t>八 数据记录和复盘</w:t>
      </w:r>
    </w:p>
    <w:p w14:paraId="60A944D2">
      <w:pPr>
        <w:spacing w:after="140" w:line="300" w:lineRule="auto"/>
        <w:ind w:firstLine="312"/>
      </w:pPr>
      <w:r>
        <w:rPr>
          <w:rFonts w:ascii="微软雅黑" w:hAnsi="微软雅黑" w:eastAsia="微软雅黑" w:cs="微软雅黑"/>
          <w:b w:val="0"/>
          <w:sz w:val="20"/>
        </w:rPr>
        <w:t>活动前保存活动范围、商品清单、客户清单、查询文件和页面版本。活动期间每周记录全音频和活动品类的销售额、销量、订单数、购买客户数，以及已上线商品和待处理事项。活动结束后使用完整活动周期与活动前相同长度的参考周期进行观察，日期和媒体范围保持一致。</w:t>
      </w:r>
    </w:p>
    <w:p w14:paraId="020FF69E">
      <w:pPr>
        <w:spacing w:after="140" w:line="300" w:lineRule="auto"/>
        <w:ind w:firstLine="312"/>
      </w:pPr>
      <w:r>
        <w:rPr>
          <w:rFonts w:ascii="微软雅黑" w:hAnsi="微软雅黑" w:eastAsia="微软雅黑" w:cs="微软雅黑"/>
          <w:b w:val="0"/>
          <w:sz w:val="20"/>
        </w:rPr>
        <w:t>复盘表至少包括：活动商品数、已成交商品数、活动销售额、活动销量、活动订单数、购买客户数、Rock和Metal分项、客户触达状态、素材修改次数、数据异常和下一步。没有曝光、点击或活动对照组时，只写销售变化与执行记录，不把变化直接归因于活动页面。</w:t>
      </w:r>
    </w:p>
    <w:p w14:paraId="64F8DCA9">
      <w:pPr>
        <w:pStyle w:val="3"/>
        <w:jc w:val="left"/>
      </w:pPr>
      <w:r>
        <w:rPr>
          <w:rFonts w:ascii="微软雅黑" w:hAnsi="微软雅黑" w:eastAsia="微软雅黑" w:cs="微软雅黑"/>
          <w:b/>
          <w:sz w:val="30"/>
        </w:rPr>
        <w:t>九 风险和处理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0165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B10764E">
            <w:pPr>
              <w:spacing w:after="0" w:line="240" w:lineRule="auto"/>
            </w:pPr>
            <w:r>
              <w:rPr>
                <w:rFonts w:ascii="微软雅黑" w:hAnsi="微软雅黑" w:eastAsia="微软雅黑" w:cs="微软雅黑"/>
                <w:b/>
                <w:sz w:val="17"/>
              </w:rPr>
              <w:t>情形</w:t>
            </w:r>
          </w:p>
        </w:tc>
        <w:tc>
          <w:tcPr>
            <w:tcW w:w="3286" w:type="dxa"/>
          </w:tcPr>
          <w:p w14:paraId="32CB6DB7">
            <w:pPr>
              <w:spacing w:after="0" w:line="240" w:lineRule="auto"/>
            </w:pPr>
            <w:r>
              <w:rPr>
                <w:rFonts w:ascii="微软雅黑" w:hAnsi="微软雅黑" w:eastAsia="微软雅黑" w:cs="微软雅黑"/>
                <w:b/>
                <w:sz w:val="17"/>
              </w:rPr>
              <w:t>处理方式</w:t>
            </w:r>
          </w:p>
        </w:tc>
        <w:tc>
          <w:tcPr>
            <w:tcW w:w="3286" w:type="dxa"/>
          </w:tcPr>
          <w:p w14:paraId="3A832072">
            <w:pPr>
              <w:spacing w:after="0" w:line="240" w:lineRule="auto"/>
            </w:pPr>
            <w:r>
              <w:rPr>
                <w:rFonts w:ascii="微软雅黑" w:hAnsi="微软雅黑" w:eastAsia="微软雅黑" w:cs="微软雅黑"/>
                <w:b/>
                <w:sz w:val="17"/>
              </w:rPr>
              <w:t>留档要求</w:t>
            </w:r>
          </w:p>
        </w:tc>
      </w:tr>
      <w:tr w14:paraId="7E36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78CF6FF">
            <w:pPr>
              <w:spacing w:after="0" w:line="240" w:lineRule="auto"/>
            </w:pPr>
            <w:r>
              <w:rPr>
                <w:rFonts w:ascii="微软雅黑" w:hAnsi="微软雅黑" w:eastAsia="微软雅黑" w:cs="微软雅黑"/>
                <w:b w:val="0"/>
                <w:sz w:val="17"/>
              </w:rPr>
              <w:t>商品Genre或MediaType不清</w:t>
            </w:r>
          </w:p>
        </w:tc>
        <w:tc>
          <w:tcPr>
            <w:tcW w:w="3286" w:type="dxa"/>
          </w:tcPr>
          <w:p w14:paraId="672C03C0">
            <w:pPr>
              <w:spacing w:after="0" w:line="240" w:lineRule="auto"/>
            </w:pPr>
            <w:r>
              <w:rPr>
                <w:rFonts w:ascii="微软雅黑" w:hAnsi="微软雅黑" w:eastAsia="微软雅黑" w:cs="微软雅黑"/>
                <w:b w:val="0"/>
                <w:sz w:val="17"/>
              </w:rPr>
              <w:t>移入待核对清单</w:t>
            </w:r>
          </w:p>
        </w:tc>
        <w:tc>
          <w:tcPr>
            <w:tcW w:w="3286" w:type="dxa"/>
          </w:tcPr>
          <w:p w14:paraId="4AB0F29E">
            <w:pPr>
              <w:spacing w:after="0" w:line="240" w:lineRule="auto"/>
            </w:pPr>
            <w:r>
              <w:rPr>
                <w:rFonts w:ascii="微软雅黑" w:hAnsi="微软雅黑" w:eastAsia="微软雅黑" w:cs="微软雅黑"/>
                <w:b w:val="0"/>
                <w:sz w:val="17"/>
              </w:rPr>
              <w:t>TrackId、问题字段、处理人</w:t>
            </w:r>
          </w:p>
        </w:tc>
      </w:tr>
      <w:tr w14:paraId="6317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367780E">
            <w:pPr>
              <w:spacing w:after="0" w:line="240" w:lineRule="auto"/>
            </w:pPr>
            <w:r>
              <w:rPr>
                <w:rFonts w:ascii="微软雅黑" w:hAnsi="微软雅黑" w:eastAsia="微软雅黑" w:cs="微软雅黑"/>
                <w:b w:val="0"/>
                <w:sz w:val="17"/>
              </w:rPr>
              <w:t>页面素材逾期</w:t>
            </w:r>
          </w:p>
        </w:tc>
        <w:tc>
          <w:tcPr>
            <w:tcW w:w="3286" w:type="dxa"/>
          </w:tcPr>
          <w:p w14:paraId="16A12755">
            <w:pPr>
              <w:spacing w:after="0" w:line="240" w:lineRule="auto"/>
            </w:pPr>
            <w:r>
              <w:rPr>
                <w:rFonts w:ascii="微软雅黑" w:hAnsi="微软雅黑" w:eastAsia="微软雅黑" w:cs="微软雅黑"/>
                <w:b w:val="0"/>
                <w:sz w:val="17"/>
              </w:rPr>
              <w:t>先使用已审核素材或延后上线</w:t>
            </w:r>
          </w:p>
        </w:tc>
        <w:tc>
          <w:tcPr>
            <w:tcW w:w="3286" w:type="dxa"/>
          </w:tcPr>
          <w:p w14:paraId="6B55FD54">
            <w:pPr>
              <w:spacing w:after="0" w:line="240" w:lineRule="auto"/>
            </w:pPr>
            <w:r>
              <w:rPr>
                <w:rFonts w:ascii="微软雅黑" w:hAnsi="微软雅黑" w:eastAsia="微软雅黑" w:cs="微软雅黑"/>
                <w:b w:val="0"/>
                <w:sz w:val="17"/>
              </w:rPr>
              <w:t>原计划和调整日期</w:t>
            </w:r>
          </w:p>
        </w:tc>
      </w:tr>
      <w:tr w14:paraId="7016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5F19AA9">
            <w:pPr>
              <w:spacing w:after="0" w:line="240" w:lineRule="auto"/>
            </w:pPr>
            <w:r>
              <w:rPr>
                <w:rFonts w:ascii="微软雅黑" w:hAnsi="微软雅黑" w:eastAsia="微软雅黑" w:cs="微软雅黑"/>
                <w:b w:val="0"/>
                <w:sz w:val="17"/>
              </w:rPr>
              <w:t>客户清单重复</w:t>
            </w:r>
          </w:p>
        </w:tc>
        <w:tc>
          <w:tcPr>
            <w:tcW w:w="3286" w:type="dxa"/>
          </w:tcPr>
          <w:p w14:paraId="7A6A055A">
            <w:pPr>
              <w:spacing w:after="0" w:line="240" w:lineRule="auto"/>
            </w:pPr>
            <w:r>
              <w:rPr>
                <w:rFonts w:ascii="微软雅黑" w:hAnsi="微软雅黑" w:eastAsia="微软雅黑" w:cs="微软雅黑"/>
                <w:b w:val="0"/>
                <w:sz w:val="17"/>
              </w:rPr>
              <w:t>按CustomerId去重并检查观察期</w:t>
            </w:r>
          </w:p>
        </w:tc>
        <w:tc>
          <w:tcPr>
            <w:tcW w:w="3286" w:type="dxa"/>
          </w:tcPr>
          <w:p w14:paraId="35E81F55">
            <w:pPr>
              <w:spacing w:after="0" w:line="240" w:lineRule="auto"/>
            </w:pPr>
            <w:r>
              <w:rPr>
                <w:rFonts w:ascii="微软雅黑" w:hAnsi="微软雅黑" w:eastAsia="微软雅黑" w:cs="微软雅黑"/>
                <w:b w:val="0"/>
                <w:sz w:val="17"/>
              </w:rPr>
              <w:t>修订前后名单</w:t>
            </w:r>
          </w:p>
        </w:tc>
      </w:tr>
      <w:tr w14:paraId="670D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69984515">
            <w:pPr>
              <w:spacing w:after="0" w:line="240" w:lineRule="auto"/>
            </w:pPr>
            <w:r>
              <w:rPr>
                <w:rFonts w:ascii="微软雅黑" w:hAnsi="微软雅黑" w:eastAsia="微软雅黑" w:cs="微软雅黑"/>
                <w:b w:val="0"/>
                <w:sz w:val="17"/>
              </w:rPr>
              <w:t>销售额突然放大</w:t>
            </w:r>
          </w:p>
        </w:tc>
        <w:tc>
          <w:tcPr>
            <w:tcW w:w="3286" w:type="dxa"/>
          </w:tcPr>
          <w:p w14:paraId="649D250D">
            <w:pPr>
              <w:spacing w:after="0" w:line="240" w:lineRule="auto"/>
            </w:pPr>
            <w:r>
              <w:rPr>
                <w:rFonts w:ascii="微软雅黑" w:hAnsi="微软雅黑" w:eastAsia="微软雅黑" w:cs="微软雅黑"/>
                <w:b w:val="0"/>
                <w:sz w:val="17"/>
              </w:rPr>
              <w:t>检查PlaylistTrack和多表连接</w:t>
            </w:r>
          </w:p>
        </w:tc>
        <w:tc>
          <w:tcPr>
            <w:tcW w:w="3286" w:type="dxa"/>
          </w:tcPr>
          <w:p w14:paraId="3E766230">
            <w:pPr>
              <w:spacing w:after="0" w:line="240" w:lineRule="auto"/>
            </w:pPr>
            <w:r>
              <w:rPr>
                <w:rFonts w:ascii="微软雅黑" w:hAnsi="微软雅黑" w:eastAsia="微软雅黑" w:cs="微软雅黑"/>
                <w:b w:val="0"/>
                <w:sz w:val="17"/>
              </w:rPr>
              <w:t>原查询、修订查询、差异</w:t>
            </w:r>
          </w:p>
        </w:tc>
      </w:tr>
      <w:tr w14:paraId="28C2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500278D">
            <w:pPr>
              <w:spacing w:after="0" w:line="240" w:lineRule="auto"/>
            </w:pPr>
            <w:r>
              <w:rPr>
                <w:rFonts w:ascii="微软雅黑" w:hAnsi="微软雅黑" w:eastAsia="微软雅黑" w:cs="微软雅黑"/>
                <w:b w:val="0"/>
                <w:sz w:val="17"/>
              </w:rPr>
              <w:t>客户要求停止联系</w:t>
            </w:r>
          </w:p>
        </w:tc>
        <w:tc>
          <w:tcPr>
            <w:tcW w:w="3286" w:type="dxa"/>
          </w:tcPr>
          <w:p w14:paraId="4D48C0D9">
            <w:pPr>
              <w:spacing w:after="0" w:line="240" w:lineRule="auto"/>
            </w:pPr>
            <w:r>
              <w:rPr>
                <w:rFonts w:ascii="微软雅黑" w:hAnsi="微软雅黑" w:eastAsia="微软雅黑" w:cs="微软雅黑"/>
                <w:b w:val="0"/>
                <w:sz w:val="17"/>
              </w:rPr>
              <w:t>更新触达状态并停止发送</w:t>
            </w:r>
          </w:p>
        </w:tc>
        <w:tc>
          <w:tcPr>
            <w:tcW w:w="3286" w:type="dxa"/>
          </w:tcPr>
          <w:p w14:paraId="53B7125A">
            <w:pPr>
              <w:spacing w:after="0" w:line="240" w:lineRule="auto"/>
            </w:pPr>
            <w:r>
              <w:rPr>
                <w:rFonts w:ascii="微软雅黑" w:hAnsi="微软雅黑" w:eastAsia="微软雅黑" w:cs="微软雅黑"/>
                <w:b w:val="0"/>
                <w:sz w:val="17"/>
              </w:rPr>
              <w:t>日期、来源和处理人</w:t>
            </w:r>
          </w:p>
        </w:tc>
      </w:tr>
      <w:tr w14:paraId="7BBC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4864F88">
            <w:pPr>
              <w:spacing w:after="0" w:line="240" w:lineRule="auto"/>
            </w:pPr>
            <w:r>
              <w:rPr>
                <w:rFonts w:ascii="微软雅黑" w:hAnsi="微软雅黑" w:eastAsia="微软雅黑" w:cs="微软雅黑"/>
                <w:b w:val="0"/>
                <w:sz w:val="17"/>
              </w:rPr>
              <w:t>活动范围需扩大到视频</w:t>
            </w:r>
          </w:p>
        </w:tc>
        <w:tc>
          <w:tcPr>
            <w:tcW w:w="3286" w:type="dxa"/>
          </w:tcPr>
          <w:p w14:paraId="573F1784">
            <w:pPr>
              <w:spacing w:after="0" w:line="240" w:lineRule="auto"/>
            </w:pPr>
            <w:r>
              <w:rPr>
                <w:rFonts w:ascii="微软雅黑" w:hAnsi="微软雅黑" w:eastAsia="微软雅黑" w:cs="微软雅黑"/>
                <w:b w:val="0"/>
                <w:sz w:val="17"/>
              </w:rPr>
              <w:t>单独栏目和查询</w:t>
            </w:r>
          </w:p>
        </w:tc>
        <w:tc>
          <w:tcPr>
            <w:tcW w:w="3286" w:type="dxa"/>
          </w:tcPr>
          <w:p w14:paraId="4A6C34F2">
            <w:pPr>
              <w:spacing w:after="0" w:line="240" w:lineRule="auto"/>
            </w:pPr>
            <w:r>
              <w:rPr>
                <w:rFonts w:ascii="微软雅黑" w:hAnsi="微软雅黑" w:eastAsia="微软雅黑" w:cs="微软雅黑"/>
                <w:b w:val="0"/>
                <w:sz w:val="17"/>
              </w:rPr>
              <w:t>业务负责人确认记录</w:t>
            </w:r>
          </w:p>
        </w:tc>
      </w:tr>
    </w:tbl>
    <w:p w14:paraId="33A233A1"/>
    <w:p w14:paraId="548A2518">
      <w:pPr>
        <w:pStyle w:val="3"/>
        <w:jc w:val="left"/>
      </w:pPr>
      <w:r>
        <w:rPr>
          <w:rFonts w:ascii="微软雅黑" w:hAnsi="微软雅黑" w:eastAsia="微软雅黑" w:cs="微软雅黑"/>
          <w:b/>
          <w:sz w:val="30"/>
        </w:rPr>
        <w:t>十 会议纪要示例</w:t>
      </w:r>
    </w:p>
    <w:p w14:paraId="01CE675B">
      <w:pPr>
        <w:spacing w:after="140" w:line="300" w:lineRule="auto"/>
        <w:ind w:firstLine="312"/>
      </w:pPr>
      <w:r>
        <w:rPr>
          <w:rFonts w:ascii="微软雅黑" w:hAnsi="微软雅黑" w:eastAsia="微软雅黑" w:cs="微软雅黑"/>
          <w:b w:val="0"/>
          <w:sz w:val="20"/>
        </w:rPr>
        <w:t>会议日期：2025年10月15日　会议主题：第四季度音乐主题活动上线准备</w:t>
      </w:r>
    </w:p>
    <w:p w14:paraId="421858AC">
      <w:pPr>
        <w:spacing w:after="140" w:line="300" w:lineRule="auto"/>
        <w:ind w:firstLine="312"/>
      </w:pPr>
      <w:r>
        <w:rPr>
          <w:rFonts w:ascii="微软雅黑" w:hAnsi="微软雅黑" w:eastAsia="微软雅黑" w:cs="微软雅黑"/>
          <w:b w:val="0"/>
          <w:sz w:val="20"/>
        </w:rPr>
        <w:t>参加岗位：业务负责人、品类运营、商品内容、经营分析、客户支持、数据维护</w:t>
      </w:r>
    </w:p>
    <w:p w14:paraId="146D3B03">
      <w:pPr>
        <w:spacing w:after="140" w:line="300" w:lineRule="auto"/>
        <w:ind w:firstLine="312"/>
      </w:pPr>
      <w:r>
        <w:rPr>
          <w:rFonts w:ascii="微软雅黑" w:hAnsi="微软雅黑" w:eastAsia="微软雅黑" w:cs="微软雅黑"/>
          <w:b w:val="0"/>
          <w:sz w:val="20"/>
        </w:rPr>
        <w:t>会议确认主页面使用Genre:1的Rock音频商品，Metal作为延伸栏目，不把Heavy Metal和Rock And Roll静默并入。商品内容岗负责Men At Work专辑候选和Metallica相关候选的页面稿，经营分析岗保留第三季度成交事实，客户支持岗按客户分层规则客户层级整理触达名单。</w:t>
      </w:r>
    </w:p>
    <w:p w14:paraId="5325197A">
      <w:pPr>
        <w:spacing w:after="140" w:line="300" w:lineRule="auto"/>
        <w:ind w:firstLine="312"/>
      </w:pPr>
      <w:r>
        <w:rPr>
          <w:rFonts w:ascii="微软雅黑" w:hAnsi="微软雅黑" w:eastAsia="微软雅黑" w:cs="微软雅黑"/>
          <w:b w:val="0"/>
          <w:sz w:val="20"/>
        </w:rPr>
        <w:t>会议决定10月17日前完成页面和名单审核，10月20日上线。若素材或分类核对未完成，商品进入待核对清单，页面不先行使用。经营分析岗提醒当前成交单价均为0.99美元，活动复盘不写价格带改善结论；业务负责人同意后续补充活动事件字段。</w:t>
      </w:r>
    </w:p>
    <w:p w14:paraId="450D4B3B">
      <w:pPr>
        <w:pStyle w:val="3"/>
        <w:jc w:val="left"/>
      </w:pPr>
      <w:bookmarkStart w:id="0" w:name="_GoBack"/>
      <w:bookmarkEnd w:id="0"/>
      <w:r>
        <w:rPr>
          <w:rFonts w:ascii="微软雅黑" w:hAnsi="微软雅黑" w:eastAsia="微软雅黑" w:cs="微软雅黑"/>
          <w:b/>
          <w:sz w:val="30"/>
        </w:rPr>
        <w:t>活动结束后的材料</w:t>
      </w:r>
    </w:p>
    <w:p w14:paraId="1CDB172B">
      <w:pPr>
        <w:spacing w:after="140" w:line="300" w:lineRule="auto"/>
        <w:ind w:firstLine="312"/>
      </w:pPr>
      <w:r>
        <w:rPr>
          <w:rFonts w:ascii="微软雅黑" w:hAnsi="微软雅黑" w:eastAsia="微软雅黑" w:cs="微软雅黑"/>
          <w:b w:val="0"/>
          <w:sz w:val="20"/>
        </w:rPr>
        <w:t>方案、页面稿、商品清单、客户工作清单、查询文件和活动复盘一并归档。复盘先写执行情况，再写销售变化；没有事件记录时不补写活动效果。</w:t>
      </w:r>
    </w:p>
    <w:sectPr>
      <w:pgSz w:w="12240" w:h="15840"/>
      <w:pgMar w:top="1020" w:right="1191" w:bottom="1020"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EB1A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3575</Words>
  <Characters>4192</Characters>
  <Lines>0</Lines>
  <Paragraphs>0</Paragraphs>
  <TotalTime>1</TotalTime>
  <ScaleCrop>false</ScaleCrop>
  <LinksUpToDate>false</LinksUpToDate>
  <CharactersWithSpaces>4253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吕佳阳</cp:lastModifiedBy>
  <dcterms:modified xsi:type="dcterms:W3CDTF">2026-10-02T10:51:01Z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eyJoZGlkIjoiZTJiZDFhNGNmMGMzN2VmMTc5MjU4M2YyYTY3YWNiZjEiLCJ1c2VySWQiOiIxNzIxNjE4MjA2In0=</vt:lpwstr>
  </property>
  <property fmtid="{D5CDD505-2E9C-101B-9397-08002B2CF9AE}" pid="3" name="KSOProductBuildVer">
    <vt:lpwstr>2052-12.1.0.28043</vt:lpwstr>
  </property>
  <property fmtid="{D5CDD505-2E9C-101B-9397-08002B2CF9AE}" pid="4" name="ICV">
    <vt:lpwstr>0C13D5561CC543B590637928D08D482B_12</vt:lpwstr>
  </property>
</Properties>
</file>