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b w:val="true"/>
          <w:color w:val="000000"/>
          <w:sz w:val="50"/>
        </w:rPr>
        <w:t>加密货币历史行情与周期分析平台 PRD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36"/>
        </w:rPr>
        <w:t>项目概述与范围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1.1 项目背景与市场机会</w:t>
      </w:r>
      <w:r>
        <w:rPr>
          <w:rFonts w:eastAsia="等线" w:ascii="Arial" w:hAnsi="等线" w:cs="等线"/>
          <w:color w:val="000000"/>
          <w:sz w:val="22"/>
        </w:rPr>
        <w:t>当前加密货币市场已经进入了机构化与周期化并存的新阶段。随着比特币现货 ETF 的通过以及减半周期的不断推进，越来越多的投资者不再仅仅关注短期的价格波动，而是开始寻求基于长周期历史数据的投资逻辑。然而，市场现有的行情工具（如 CoinMarketCap、TradingView）大多侧重于实时价格监控与短线技术分析，普遍缺乏针对 “减半周期” 这一核心叙事的深度历史回溯与结构化分析能力。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初级投资者往往难以获取清洗过的历史周期数据，导致其在做定投决策时缺乏锚点；而进阶分析师则苦于缺乏统一的数据口径来验证 “四年周期论” 或 “S2F 模型” 的有效性。我们看到的市场机会在于，目前尚无一个权威、垂直的平台能够将 “历史行情回溯”、“减半周期分段” 与 “定投策略测算” 三者有机结合。本项目的核心价值在于填补这一空白，通过工程化的手段将散落在各处的历史数据标准化，为用户提供一个可信赖的周期分析工具，帮助用户在长周期中寻找确定性。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1.2 产品目标</w:t>
      </w:r>
      <w:r>
        <w:rPr>
          <w:rFonts w:eastAsia="等线" w:ascii="Arial" w:hAnsi="等线" w:cs="等线"/>
          <w:color w:val="000000"/>
          <w:sz w:val="22"/>
        </w:rPr>
        <w:t>本产品旨在打造全网最专业的 “加密货币周期分析与历史回溯引擎”。我们将通过以下可度量的核心目标来驱动产品研发与迭代：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目标一：构建全网最精准的周期数据库。</w:t>
      </w:r>
      <w:r>
        <w:rPr>
          <w:rFonts w:eastAsia="等线" w:ascii="Arial" w:hAnsi="等线" w:cs="等线"/>
          <w:color w:val="000000"/>
          <w:sz w:val="22"/>
        </w:rPr>
        <w:t>覆盖至少前 20 大主流资产的全量历史数据，且针对比特币的四次减半周期实现 100% 的数据清洗与分段标记，确保每一次高低点的时间误差不超过 24 小时。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目标二：实现 “傻瓜式” 的策略回测能力。</w:t>
      </w:r>
      <w:r>
        <w:rPr>
          <w:rFonts w:eastAsia="等线" w:ascii="Arial" w:hAnsi="等线" w:cs="等线"/>
          <w:color w:val="000000"/>
          <w:sz w:val="22"/>
        </w:rPr>
        <w:t>用户生成一份定投回测报告的平均耗时需控制在 5 秒以内（从参数输入到结果展示），且报告必须包含最大回撤、夏普比率等专业金融指标，让普通用户也能像量化交易员一样思考。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目标三：建立稳健的流量与留存闭环。</w:t>
      </w:r>
      <w:r>
        <w:rPr>
          <w:rFonts w:eastAsia="等线" w:ascii="Arial" w:hAnsi="等线" w:cs="等线"/>
          <w:color w:val="000000"/>
          <w:sz w:val="22"/>
        </w:rPr>
        <w:t>在 MVP 上线后 3 个月内，达成日活跃用户（DAU）突破 5,000 人，且用户周留存率不低于 30%。通过高质量的周期分析图表（支持一键分享）来实现社交裂变，使自然流量占比超过 60%。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目标四：确保系统的高可用性与合规性。</w:t>
      </w:r>
      <w:r>
        <w:rPr>
          <w:rFonts w:eastAsia="等线" w:ascii="Arial" w:hAnsi="等线" w:cs="等线"/>
          <w:color w:val="000000"/>
          <w:sz w:val="22"/>
        </w:rPr>
        <w:t>核心行情接口的 P95 响应时间低于 200ms，数据源归因与免责声明覆盖率达到 100%，杜绝任何因合规问题导致的服务中断风险。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1.3 项目范围边界（In Scope / Out of Scope）</w:t>
      </w:r>
      <w:r>
        <w:rPr>
          <w:rFonts w:eastAsia="等线" w:ascii="Arial" w:hAnsi="等线" w:cs="等线"/>
          <w:color w:val="000000"/>
          <w:sz w:val="22"/>
        </w:rPr>
        <w:t>为了确保项目能够按时交付并聚焦核心价值，我们需要严格定义本期项目的范围边界，特别是要厘清 “历史”、“周期” 与 “预测” 三者的关系。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模块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In Scope（核心功能范围）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Out of Scope（暂不涉及）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历史行情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支持 BTC 及 Top 20 主流币种的历史 OHLCV 数据查询。
2. 提供日线、周线、月线级别的 K 线图表。
3. 支持法币计价切换（USD/CNY）。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秒级/分钟级的高频数据流（Real-time streaming）。
2. 链上全量交易明细（Tick-level data）。
3. 20 名以外的小市值山寨币或 Meme 币。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周期分析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基于 BTC 减半日期的严格周期分段（Pre/Post-halving）。
2. 历史周期的高点、低点、最大回撤幅度计算。
3. 周期内资产表现对比（如 BTC vs ETH）。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基于波浪理论或其他主观技术指标的画线工具。
2. 社交情绪分析或链上地址聚类分析。
3. 针对非 POW 币种的非减半类周期定义。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预测与定投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1. 基于历史统计规律的区间预测（如 “减半后 18 个月见顶”）。
2. 经典的定投策略计算器（定时定额、均线偏离度定投）。
3.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强制且醒目的风险提示弹窗。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具体的买卖点位推荐（Signal Calling）。
2. AI 黑盒预测模型（无法解释逻辑的深度学习预测）。
3. 实盘交易接口或资产托管功能。</w:t>
            </w:r>
          </w:p>
        </w:tc>
      </w:tr>
    </w:tbl>
    <w:p>
      <w:pPr>
        <w:spacing w:before="120" w:after="120" w:line="288" w:lineRule="auto"/>
      </w:pP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核心风险提示与合规声明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本项目所有功能模块必须严格遵守 “信息中立” 原则。在产品的所有预测页面、定投计算器结果页以及页脚位置，必须强制展示以下声明：此外，所有外部数据源（如 CoinGecko）的使用必须严格遵循其</w:t>
            </w:r>
            <w:hyperlink xmlns:relationships="http://schemas.openxmlformats.org/officeDocument/2006/relationships" relationships:id="rId9">
              <w:r>
                <w:rPr>
                  <w:rStyle w:val="Hyperlink"/>
                  <w:rFonts w:eastAsia="等线" w:ascii="Arial" w:hAnsi="等线" w:cs="等线"/>
                  <w:color w:val="0563C1"/>
                  <w:sz w:val="22"/>
                  <w:u w:val="single"/>
                </w:rPr>
                <w:t>服务条款</w:t>
              </w:r>
            </w:hyperlink>
            <w:r>
              <w:rPr>
                <w:rFonts w:eastAsia="等线" w:ascii="Arial" w:hAnsi="等线" w:cs="等线"/>
                <w:color w:val="000000"/>
                <w:sz w:val="22"/>
              </w:rPr>
              <w:t>，确保合规归因。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2. </w:t>
      </w:r>
      <w:r>
        <w:rPr>
          <w:rFonts w:eastAsia="等线" w:ascii="Arial" w:hAnsi="等线" w:cs="等线"/>
          <w:b w:val="true"/>
          <w:color w:val="000000"/>
          <w:sz w:val="36"/>
        </w:rPr>
        <w:t>用户与使用场景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为了确保产品功能精准匹配市场需求，我们通过定性访谈与竞品分析，抽象出三类核心典型用户画像。这三类用户分别代表了 “初级/被动型”、“专业/交易型” 以及 “传播/影响型” 需求。我们的产品设计必须同时满足这三类人群在不同场景下的核心诉求。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2.1 目标用户画像 (Personas)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</w:tblGrid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用户类型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初级投资者 / 定投用户 (The Hodler)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交易员 / 量化研究者 (The Trader)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内容创作者 / 分析师 (The Influencer)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典型特征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缺乏专业金融知识，追求简单。
- 资金量不大，但有长期储蓄习惯。
- 容易受市场 FUMO 情绪影响，追涨杀跌。
- 核心诉求：不仅想知道 “现在买贵了吗？”，更想知道 “怎么买最稳？”。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具备技术分析能力，关注数据精度。
- 需要验证自己的交易系统逻辑。
- 对数据颗粒度敏感（需要 OHLCV）。
- 核心诉求：寻找历史上的高盈亏比位置，验证 S2F 等宏观模型的有效性。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活跃于 Twitter/Youtube，需要素材。
- 追求观点的独特性和图表的美观度。
- 需要数据来支撑其叙事（Narrative）。
- 核心诉求：快速生成可视化的周期对比图，用来发推特或写研报。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Jobs To Be Done (JTBD)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查看当前价格在历史周期中的位置。
2. 计算如果现在开始每月定投$100，4 年后会有多少钱。
3. 寻找一个心理安慰的 “低估区间” 入场。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下载清洗过的历史日线数据进行本地 Python 回测。
2. 对比本轮减半后走势与 2016/2020 年的相关性系数。
3. 监控 Top20 币种相对 BTC 的汇率强弱周期。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截取 “当前减半进度条” 分享给粉丝。
2. 引用平台发布的 “下一轮高点预测区间” 作为论据。
3. 在视频中展示动态的资产轮动图表。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核心痛点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交易所 K 线太复杂，看不懂。
- 网上定投计算器太简陋，不支持分段策略。
- 不知道何时该停止定投开始卖出。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免费数据源（如 Yahoo Finance）数据缺失严重。
- 自己清洗减半周期数据极其耗时。
- 缺乏统一的 “减半对齐” 视图。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手动做图效率低，PS 成本高。
- 缺乏权威数据背书，容易被粉丝质疑。
- 找不到清晰的 “周期进度” 可视化组件。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2.2 端到端用户旅程 (User Journeys)</w:t>
      </w:r>
      <w:r>
        <w:rPr>
          <w:rFonts w:eastAsia="等线" w:ascii="Arial" w:hAnsi="等线" w:cs="等线"/>
          <w:color w:val="000000"/>
          <w:sz w:val="22"/>
        </w:rPr>
        <w:t>我们将重点优化以下两条高频核心路径，确保用户在这些关键时刻获得极致体验。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场景一：定投新手的决策之旅</w:t>
      </w:r>
      <w:r>
        <w:rPr>
          <w:rFonts w:eastAsia="等线" w:ascii="Arial" w:hAnsi="等线" w:cs="等线"/>
          <w:color w:val="000000"/>
          <w:sz w:val="22"/>
        </w:rPr>
        <w:t xml:space="preserve">
用户小明听说 BTC 减半了，想入场但怕买在高点。
1. </w:t>
      </w:r>
      <w:r>
        <w:rPr>
          <w:rFonts w:eastAsia="等线" w:ascii="Arial" w:hAnsi="等线" w:cs="等线"/>
          <w:i w:val="true"/>
          <w:color w:val="000000"/>
          <w:sz w:val="22"/>
        </w:rPr>
        <w:t>搜索进入</w:t>
      </w:r>
      <w:r>
        <w:rPr>
          <w:rFonts w:eastAsia="等线" w:ascii="Arial" w:hAnsi="等线" w:cs="等线"/>
          <w:color w:val="000000"/>
          <w:sz w:val="22"/>
        </w:rPr>
        <w:t xml:space="preserve">：Google 搜索 “比特币历史减半走势”，点击进入本站 “周期分析页”。
2. </w:t>
      </w:r>
      <w:r>
        <w:rPr>
          <w:rFonts w:eastAsia="等线" w:ascii="Arial" w:hAnsi="等线" w:cs="等线"/>
          <w:i w:val="true"/>
          <w:color w:val="000000"/>
          <w:sz w:val="22"/>
        </w:rPr>
        <w:t>建立认知</w:t>
      </w:r>
      <w:r>
        <w:rPr>
          <w:rFonts w:eastAsia="等线" w:ascii="Arial" w:hAnsi="等线" w:cs="等线"/>
          <w:color w:val="000000"/>
          <w:sz w:val="22"/>
        </w:rPr>
        <w:t xml:space="preserve">：看到 “当前处于减半后第 X 天” 的进度条，发现历史上此时通常是牛市中期，心态趋稳。
3. </w:t>
      </w:r>
      <w:r>
        <w:rPr>
          <w:rFonts w:eastAsia="等线" w:ascii="Arial" w:hAnsi="等线" w:cs="等线"/>
          <w:i w:val="true"/>
          <w:color w:val="000000"/>
          <w:sz w:val="22"/>
        </w:rPr>
        <w:t>模拟测算</w:t>
      </w:r>
      <w:r>
        <w:rPr>
          <w:rFonts w:eastAsia="等线" w:ascii="Arial" w:hAnsi="等线" w:cs="等线"/>
          <w:color w:val="000000"/>
          <w:sz w:val="22"/>
        </w:rPr>
        <w:t xml:space="preserve">：进入 “定投策略页”，输入 “每月定投 500U”，选择 “智能定投策略（低估多买，高估少买）”。
4. </w:t>
      </w:r>
      <w:r>
        <w:rPr>
          <w:rFonts w:eastAsia="等线" w:ascii="Arial" w:hAnsi="等线" w:cs="等线"/>
          <w:i w:val="true"/>
          <w:color w:val="000000"/>
          <w:sz w:val="22"/>
        </w:rPr>
        <w:t>获取信心</w:t>
      </w:r>
      <w:r>
        <w:rPr>
          <w:rFonts w:eastAsia="等线" w:ascii="Arial" w:hAnsi="等线" w:cs="等线"/>
          <w:color w:val="000000"/>
          <w:sz w:val="22"/>
        </w:rPr>
        <w:t xml:space="preserve">：看到回测结果显示历史年化回报高达 45%，且最大回撤可控。
5. </w:t>
      </w:r>
      <w:r>
        <w:rPr>
          <w:rFonts w:eastAsia="等线" w:ascii="Arial" w:hAnsi="等线" w:cs="等线"/>
          <w:i w:val="true"/>
          <w:color w:val="000000"/>
          <w:sz w:val="22"/>
        </w:rPr>
        <w:t>行动/分享</w:t>
      </w:r>
      <w:r>
        <w:rPr>
          <w:rFonts w:eastAsia="等线" w:ascii="Arial" w:hAnsi="等线" w:cs="等线"/>
          <w:color w:val="000000"/>
          <w:sz w:val="22"/>
        </w:rPr>
        <w:t>：虽不能直接交易，但下载了策略报告图，发给朋友说 “我们要开始存币了”。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场景二：分析师的数据挖掘之旅</w:t>
      </w:r>
      <w:r>
        <w:rPr>
          <w:rFonts w:eastAsia="等线" w:ascii="Arial" w:hAnsi="等线" w:cs="等线"/>
          <w:color w:val="000000"/>
          <w:sz w:val="22"/>
        </w:rPr>
        <w:t xml:space="preserve">
分析师 Alice 正在写一篇关于 “山寨币季节（Altseason）” 的研报。
1. </w:t>
      </w:r>
      <w:r>
        <w:rPr>
          <w:rFonts w:eastAsia="等线" w:ascii="Arial" w:hAnsi="等线" w:cs="等线"/>
          <w:i w:val="true"/>
          <w:color w:val="000000"/>
          <w:sz w:val="22"/>
        </w:rPr>
        <w:t>数据探查</w:t>
      </w:r>
      <w:r>
        <w:rPr>
          <w:rFonts w:eastAsia="等线" w:ascii="Arial" w:hAnsi="等线" w:cs="等线"/>
          <w:color w:val="000000"/>
          <w:sz w:val="22"/>
        </w:rPr>
        <w:t xml:space="preserve">：进入 “数据下载页”，勾选 Top20 币种，选择 “按减半日期对齐” 的 CSV 格式。
2. </w:t>
      </w:r>
      <w:r>
        <w:rPr>
          <w:rFonts w:eastAsia="等线" w:ascii="Arial" w:hAnsi="等线" w:cs="等线"/>
          <w:i w:val="true"/>
          <w:color w:val="000000"/>
          <w:sz w:val="22"/>
        </w:rPr>
        <w:t>周期对比</w:t>
      </w:r>
      <w:r>
        <w:rPr>
          <w:rFonts w:eastAsia="等线" w:ascii="Arial" w:hAnsi="等线" w:cs="等线"/>
          <w:color w:val="000000"/>
          <w:sz w:val="22"/>
        </w:rPr>
        <w:t xml:space="preserve">：在 “周期分析页” 叠加 2016 年和 2020 年减半后 ETH/BTC 汇率的走势图。
3. </w:t>
      </w:r>
      <w:r>
        <w:rPr>
          <w:rFonts w:eastAsia="等线" w:ascii="Arial" w:hAnsi="等线" w:cs="等线"/>
          <w:i w:val="true"/>
          <w:color w:val="000000"/>
          <w:sz w:val="22"/>
        </w:rPr>
        <w:t>发现规律</w:t>
      </w:r>
      <w:r>
        <w:rPr>
          <w:rFonts w:eastAsia="等线" w:ascii="Arial" w:hAnsi="等线" w:cs="等线"/>
          <w:color w:val="000000"/>
          <w:sz w:val="22"/>
        </w:rPr>
        <w:t xml:space="preserve">：发现汇率爆发通常滞后于 BTC 突破前高后的 3 个月。
4. </w:t>
      </w:r>
      <w:r>
        <w:rPr>
          <w:rFonts w:eastAsia="等线" w:ascii="Arial" w:hAnsi="等线" w:cs="等线"/>
          <w:i w:val="true"/>
          <w:color w:val="000000"/>
          <w:sz w:val="22"/>
        </w:rPr>
        <w:t>引用发布</w:t>
      </w:r>
      <w:r>
        <w:rPr>
          <w:rFonts w:eastAsia="等线" w:ascii="Arial" w:hAnsi="等线" w:cs="等线"/>
          <w:color w:val="000000"/>
          <w:sz w:val="22"/>
        </w:rPr>
        <w:t>：直接截图带有平台水印的 “周期叠加对比图”，嵌入研报，并在脚注中引用本平台数据链接。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3. </w:t>
      </w:r>
      <w:r>
        <w:rPr>
          <w:rFonts w:eastAsia="等线" w:ascii="Arial" w:hAnsi="等线" w:cs="等线"/>
          <w:b w:val="true"/>
          <w:color w:val="000000"/>
          <w:sz w:val="36"/>
        </w:rPr>
        <w:t>功能需求 A：站点与交互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本章节详细定义产品的信息架构（IA）与前端交互逻辑。设计原则是 “重数据可视化，轻文字描述”，通过直观的图表让用户一眼看懂复杂的周期逻辑。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3.1 信息架构与页面清单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页面名称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核心功能模块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关键交互与组件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首页 (Dashboard)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全网概览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：总市值、BTC 占比、恐慌指数。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周期时钟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：通过仪表盘展示当前处于 “减半周期” 的哪个阶段（如：积累期、爆发期）。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Top 20 榜单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：通过热力图或列表展示主流资产。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核心预测摘要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：展示下周期高低点的概率区间。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周期时钟支持鼠标悬停显示详细天数倒计时。
- 榜单支持按 “距前高跌幅” 排序，方便寻找低估资产。
- 顶部 Banner 轮播关键市场洞察。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币种详情页 (Coin Detail)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基础行情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：实时价格、OHLCV K 线图。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周期透视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：叠加历史减半点垂直辅助线。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关键指标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：距离 ATH 跌幅、距离最低点涨幅、S2F 模型偏离度。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同类对比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：与 ETH 或 BTC 的走势相关性分析。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K 线图集成 TradingView 轻量库，支持缩放/平移。
- 减半垂直线可一键开关。
- 支持 “法币本位” 与 “BTC 本位” 一键切换。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周期分析页 (Cycle Analysis)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周期叠加图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：将 2012/2016/2020/2024 四次周期按 “减半日” 对齐，绘制在同一坐标系下。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回报率矩阵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：展示每个周期不同阶段（如减半后 1 年）的平均回报率。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分段统计表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：展示每个周期的持续天数、最大涨幅、最大回撤。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允许用户勾选/取消显示特定年份的周期曲线。
- 坐标轴支持 “对数坐标” 与 “线性坐标” 切换（长周期必须默认对数）。
- 图表下方提供详细的数据解释 Tooltip。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预测与定投页 (Strategies)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价格彩虹图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：基于回归模型的定投区间带（低估 - 蓝色，高估 - 红色）。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定投计算器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：输入金额/频率，输出历史回测曲线。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下周期预测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：扇形概率分布图（Fan Chart）。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计算器参数修改后，右侧图表需实现无刷新实时重绘（Client-side Reactivity）。
- 预测区间需配有显著的 “风险免责” 弹窗确认。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数据与开发者 (API/Data)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历史数据下载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：CSV 导出配置器。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API 文档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：Swagger/Redoc 集成。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版本日志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：数据清洗算法的变更记录。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下载前需通过 reCAPTCHA 验证。
- API Key 申请流程引导。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3.2 用户故事与验收标准 (User Stories &amp; Acceptance Criteria)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Story 1: 查看周期叠加图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As a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资深交易员，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I want to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在同一张图表上看到过去三次减半后的比特币走势对比，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So that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我能判断当前走势是否符合历史规律。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验收标准 (Given-When-Then):</w:t>
            </w:r>
          </w:p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Given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用户进入 “周期分析页” 且选择了 BTC。</w:t>
            </w:r>
          </w:p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When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页面加载完成。</w:t>
            </w:r>
          </w:p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Then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图表默认以 “对数坐标” 展示。</w:t>
            </w:r>
          </w:p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Then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图表 X 轴应为 “减半后天数”（Day 0 = 减半日），而非绝对日期。</w:t>
            </w:r>
          </w:p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Then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2016 年和 2020 年的曲线应以不同颜色清晰区分，且当前周期的曲线应实时更新到昨天收盘。</w:t>
            </w:r>
          </w:p>
        </w:tc>
      </w:tr>
    </w:tbl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Story 2: 定投策略回测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As a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长期定投用户，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I want to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输入我的定投参数并立即看到如果我在上个周期这么做能赚多少钱，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So that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我能建立执行策略的信心。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验收标准 (Given-When-Then):</w:t>
            </w:r>
          </w:p>
          <w:p>
            <w:pPr>
              <w:numPr>
                <w:ilvl w:val="0"/>
                <w:numId w:val="12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Given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用户在 “定投计算器” 输入：每周投$100，开始于 2020 减半日，结束于 2021 高点。</w:t>
            </w:r>
          </w:p>
          <w:p>
            <w:pPr>
              <w:numPr>
                <w:ilvl w:val="0"/>
                <w:numId w:val="12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When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用户点击 “开始回测” 或参数变更停止 0.5 秒后。</w:t>
            </w:r>
          </w:p>
          <w:p>
            <w:pPr>
              <w:numPr>
                <w:ilvl w:val="0"/>
                <w:numId w:val="12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Then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系统应在 500ms 内计算出总投入本金、最终持仓价值、收益率。</w:t>
            </w:r>
          </w:p>
          <w:p>
            <w:pPr>
              <w:numPr>
                <w:ilvl w:val="0"/>
                <w:numId w:val="12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Then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界面必须同时展示 “最大回撤金额”，提示用户过程中可能承受的浮亏风险（例如：“期间你账户一度缩水了 40%”）。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4. </w:t>
      </w:r>
      <w:r>
        <w:rPr>
          <w:rFonts w:eastAsia="等线" w:ascii="Arial" w:hAnsi="等线" w:cs="等线"/>
          <w:b w:val="true"/>
          <w:color w:val="000000"/>
          <w:sz w:val="36"/>
        </w:rPr>
        <w:t>功能需求 B：行情数据与数据源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数据的准确性与合规性是本平台的生命线。我们需要建立严格的数据治理标准，明确数据来源、清洗规则及使用边界，特别是要严格遵守上游数据供应商（CoinGecko）的使用条款。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4.1 核心数据定义与口径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数据项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定义与计算规则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默认配置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Top 20 主流币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市值排名口径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：基于 Circulating Supply（流通市值）而非 Fully Diluted（全稀释市值）。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成交额排名口径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：基于过去 7 天平均成交额（7D Avg Volume），以剔除单日刷量噪音。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黑名单机制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：必须自动剔除稳定币（USDT, USDC）、包装资产（WBTC, WETH）、以及锚定币（stETH），确保 Top20 仅包含原生波动资产。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按 “流通市值” 降序排列，排除稳定币。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数据粒度 (Granularity)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日线 (1D)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：核心数据，收盘时间统一为 UTC 00:00。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周线 (1W)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：以周一 UTC 00:00 为开盘，周日 UTC 23:59 为收盘。
-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高频数据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：暂不支持（Out of Scope）。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默认展示日线 (1D)。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历史跨度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- BTC：2010 年 7 月至今（涵盖所有主要交易所数据）。
- Altcoins：自创世区块或首次交易所上市日起。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全量历史。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计价货币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支持法币（USD, CNY, JPY）与币本位（BTC, ETH）。CNY 汇率建议采用离岸人民币（CNH）或固定汇率参考，避免合规敏感性。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默认 USD。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4.2 数据源方案与合规性 (Compliance Strategy)</w:t>
      </w:r>
      <w:r>
        <w:rPr>
          <w:rFonts w:eastAsia="等线" w:ascii="Arial" w:hAnsi="等线" w:cs="等线"/>
          <w:color w:val="000000"/>
          <w:sz w:val="22"/>
        </w:rPr>
        <w:t xml:space="preserve">经过评估，我们将采用 </w:t>
      </w:r>
      <w:r>
        <w:rPr>
          <w:rFonts w:eastAsia="等线" w:ascii="Arial" w:hAnsi="等线" w:cs="等线"/>
          <w:b w:val="true"/>
          <w:color w:val="000000"/>
          <w:sz w:val="22"/>
        </w:rPr>
        <w:t>CoinGecko API</w:t>
      </w:r>
      <w:r>
        <w:rPr>
          <w:rFonts w:eastAsia="等线" w:ascii="Arial" w:hAnsi="等线" w:cs="等线"/>
          <w:color w:val="000000"/>
          <w:sz w:val="22"/>
        </w:rPr>
        <w:t xml:space="preserve"> 作为主要数据源，因其历史数据覆盖最全且对长尾资产支持最好。备选方案为 CryptoCompare。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 xml:space="preserve">根据 </w:t>
      </w:r>
      <w:hyperlink xmlns:relationships="http://schemas.openxmlformats.org/officeDocument/2006/relationships" relationships:id="rId10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CoinGecko API Terms of Service</w:t>
        </w:r>
      </w:hyperlink>
      <w:r>
        <w:rPr>
          <w:rFonts w:eastAsia="等线" w:ascii="Arial" w:hAnsi="等线" w:cs="等线"/>
          <w:color w:val="000000"/>
          <w:sz w:val="22"/>
        </w:rPr>
        <w:t>，我们的工程实现必须严格遵守以下条款：</w:t>
      </w:r>
    </w:p>
    <w:p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强制归因 (Attribution):</w:t>
      </w:r>
      <w:r>
        <w:rPr>
          <w:rFonts w:eastAsia="等线" w:ascii="Arial" w:hAnsi="等线" w:cs="等线"/>
          <w:color w:val="000000"/>
          <w:sz w:val="22"/>
        </w:rPr>
        <w:t>条款 Section 4.3 规定：</w:t>
      </w:r>
      <w:r>
        <w:rPr>
          <w:rFonts w:eastAsia="等线" w:ascii="Arial" w:hAnsi="等线" w:cs="等线"/>
          <w:b w:val="true"/>
          <w:color w:val="000000"/>
          <w:sz w:val="22"/>
        </w:rPr>
        <w:t>执行要求</w:t>
      </w:r>
      <w:r>
        <w:rPr>
          <w:rFonts w:eastAsia="等线" w:ascii="Arial" w:hAnsi="等线" w:cs="等线"/>
          <w:color w:val="000000"/>
          <w:sz w:val="22"/>
        </w:rPr>
        <w:t>：全站页脚及所有图表的右下角水印必须包含 “Data Powered by CoinGecko” 字样，并链接至 CoinGecko 官网。</w:t>
      </w:r>
    </w:p>
    <w:tbl>
      <w:tblPr>
        <w:tblLayout w:type="fixed"/>
        <w:tblCellMar>
          <w:top w:w="60" w:type="dxa"/>
          <w:left w:w="150" w:type="dxa"/>
          <w:bottom w:w="60" w:type="dxa"/>
          <w:right w:w="150" w:type="dxa"/>
        </w:tblCellMar>
      </w:tblPr>
      <w:tblGrid>
        <w:gridCol w:w="8294"/>
      </w:tblGrid>
      <w:tr>
        <w:trPr/>
        <w:tc>
          <w:tcPr>
            <w:tcW w:w="8294" w:type="dxa"/>
            <w:tcBorders>
              <w:top w:val="none" w:color="" w:sz="0"/>
              <w:left w:val="single" w:color="BBBFC4" w:sz="18"/>
              <w:bottom w:val="none" w:color="" w:sz="0"/>
              <w:right w:val="none" w:color="" w:sz="0"/>
            </w:tcBorders>
            <w:shd w:val="clear" w:color="auto" w:fill="FFFFFF"/>
            <w:vAlign w:val="top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"You shall duly attribute ownership of the CoinGecko API to CoinGecko by displaying prominently the message “Powered by CoinGecko” in a legible font... no smaller than font size 10."</w:t>
            </w:r>
          </w:p>
        </w:tc>
      </w:tr>
    </w:tbl>
    <w:p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缓存策略 (Caching):</w:t>
      </w:r>
      <w:r>
        <w:rPr>
          <w:rFonts w:eastAsia="等线" w:ascii="Arial" w:hAnsi="等线" w:cs="等线"/>
          <w:color w:val="000000"/>
          <w:sz w:val="22"/>
        </w:rPr>
        <w:t>条款 Section 6.1.1 建议：</w:t>
      </w:r>
      <w:r>
        <w:rPr>
          <w:rFonts w:eastAsia="等线" w:ascii="Arial" w:hAnsi="等线" w:cs="等线"/>
          <w:b w:val="true"/>
          <w:color w:val="000000"/>
          <w:sz w:val="22"/>
        </w:rPr>
        <w:t>执行要求</w:t>
      </w:r>
      <w:r>
        <w:rPr>
          <w:rFonts w:eastAsia="等线" w:ascii="Arial" w:hAnsi="等线" w:cs="等线"/>
          <w:color w:val="000000"/>
          <w:sz w:val="22"/>
        </w:rPr>
        <w:t>：我们的数据库每日 UTC 00:10 触发一次全量同步任务，获取前一日的收盘数据并落库。对于当日实时数据，前端直接调用 CoinGecko API 或使用缓存有效期为 5 分钟的中间层，避免违反条款中的 “存储” 限制。</w:t>
      </w:r>
    </w:p>
    <w:tbl>
      <w:tblPr>
        <w:tblLayout w:type="fixed"/>
        <w:tblCellMar>
          <w:top w:w="60" w:type="dxa"/>
          <w:left w:w="150" w:type="dxa"/>
          <w:bottom w:w="60" w:type="dxa"/>
          <w:right w:w="150" w:type="dxa"/>
        </w:tblCellMar>
      </w:tblPr>
      <w:tblGrid>
        <w:gridCol w:w="8294"/>
      </w:tblGrid>
      <w:tr>
        <w:trPr/>
        <w:tc>
          <w:tcPr>
            <w:tcW w:w="8294" w:type="dxa"/>
            <w:tcBorders>
              <w:top w:val="none" w:color="" w:sz="0"/>
              <w:left w:val="single" w:color="BBBFC4" w:sz="18"/>
              <w:bottom w:val="none" w:color="" w:sz="0"/>
              <w:right w:val="none" w:color="" w:sz="0"/>
            </w:tcBorders>
            <w:shd w:val="clear" w:color="auto" w:fill="FFFFFF"/>
            <w:vAlign w:val="top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"You should refresh the cache at least every 24 hours."</w:t>
            </w:r>
          </w:p>
        </w:tc>
      </w:tr>
    </w:tbl>
    <w:p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速率限制 (Rate Limits):</w:t>
      </w:r>
      <w:r>
        <w:rPr>
          <w:rFonts w:eastAsia="等线" w:ascii="Arial" w:hAnsi="等线" w:cs="等线"/>
          <w:color w:val="000000"/>
          <w:sz w:val="22"/>
        </w:rPr>
        <w:t>条款 Section 4.2 提到速率限制由具体 Plan 决定。为了保证稳定性，后端必须实现 “令牌桶算法 (Token Bucket)” 进行限流保护。如果使用免费版 API（约 10-30 calls/min），必须在后端建立请求队列，严禁前端直接并发请求导致 IP 被封。</w:t>
      </w:r>
    </w:p>
    <w:p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禁止用途：</w:t>
      </w:r>
      <w:r>
        <w:rPr>
          <w:rFonts w:eastAsia="等线" w:ascii="Arial" w:hAnsi="等线" w:cs="等线"/>
          <w:color w:val="000000"/>
          <w:sz w:val="22"/>
        </w:rPr>
        <w:t>条款 Section 4.1.7.2 禁止将 API 用于赌博推广。我们的页面广告位绝不能对接任何博彩类广告联盟。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5. </w:t>
      </w:r>
      <w:r>
        <w:rPr>
          <w:rFonts w:eastAsia="等线" w:ascii="Arial" w:hAnsi="等线" w:cs="等线"/>
          <w:b w:val="true"/>
          <w:color w:val="000000"/>
          <w:sz w:val="36"/>
        </w:rPr>
        <w:t>功能需求 C：减半周期分析（高低点）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这是本产品的核心差异化功能。我们需要将 “减半” 这一事件作为时间轴的绝对锚点，重新解构历史行情。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5.1 减半日期与区块高度表</w:t>
      </w:r>
      <w:r>
        <w:rPr>
          <w:rFonts w:eastAsia="等线" w:ascii="Arial" w:hAnsi="等线" w:cs="等线"/>
          <w:color w:val="000000"/>
          <w:sz w:val="22"/>
        </w:rPr>
        <w:t xml:space="preserve">依据 </w:t>
      </w:r>
      <w:hyperlink xmlns:relationships="http://schemas.openxmlformats.org/officeDocument/2006/relationships" relationships:id="rId11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CoinGecko Bitcoin Halving</w:t>
        </w:r>
      </w:hyperlink>
      <w:r>
        <w:rPr>
          <w:rFonts w:eastAsia="等线" w:ascii="Arial" w:hAnsi="等线" w:cs="等线"/>
          <w:color w:val="000000"/>
          <w:sz w:val="22"/>
        </w:rPr>
        <w:t xml:space="preserve"> 及 </w:t>
      </w:r>
      <w:hyperlink xmlns:relationships="http://schemas.openxmlformats.org/officeDocument/2006/relationships" relationships:id="rId12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Binance Halving Events</w:t>
        </w:r>
      </w:hyperlink>
      <w:r>
        <w:rPr>
          <w:rFonts w:eastAsia="等线" w:ascii="Arial" w:hAnsi="等线" w:cs="等线"/>
          <w:color w:val="000000"/>
          <w:sz w:val="22"/>
        </w:rPr>
        <w:t xml:space="preserve"> 的权威数据，系统内置的周期参考表如下：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0"/>
        <w:gridCol w:w="1660"/>
        <w:gridCol w:w="1660"/>
        <w:gridCol w:w="1660"/>
        <w:gridCol w:w="1650"/>
      </w:tblGrid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周期序号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减半日期 (UTC)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区块高度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区块奖励 (BTC)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状态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Cycle 1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2012-11-28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210,000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25.00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历史已完结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Cycle 2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2016-07-09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420,000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12.50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历史已完结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Cycle 3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2020-05-11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630,000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6.25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历史已完结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Cycle 4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2024-04-20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840,000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3.125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当前进行中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Cycle 5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2028-04-17 (预计)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1,050,000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1.5625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未来预测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5.2 周期高低点计算规则</w:t>
      </w:r>
      <w:r>
        <w:rPr>
          <w:rFonts w:eastAsia="等线" w:ascii="Arial" w:hAnsi="等线" w:cs="等线"/>
          <w:color w:val="000000"/>
          <w:sz w:val="22"/>
        </w:rPr>
        <w:t>为了保证数据的可比性，必须定义严格的算法口径：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周期定义 (Cycle Definition):</w:t>
      </w:r>
      <w:r>
        <w:rPr>
          <w:rFonts w:eastAsia="等线" w:ascii="Arial" w:hAnsi="等线" w:cs="等线"/>
          <w:color w:val="000000"/>
          <w:sz w:val="22"/>
        </w:rPr>
        <w:t>一个完整周期 = [本次减半日， 下次减半日 - 1 天]。例如，Cycle 3 的区间为 2020-05-11 至 2024-04-19。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周期最高点 (Cycle High):</w:t>
      </w:r>
      <w:r>
        <w:rPr>
          <w:rFonts w:eastAsia="等线" w:ascii="Arial" w:hAnsi="等线" w:cs="等线"/>
          <w:color w:val="000000"/>
          <w:sz w:val="22"/>
        </w:rPr>
        <w:t>取该时间区间内日线收盘价（Close）的最大值。</w:t>
      </w:r>
      <w:r>
        <w:rPr>
          <w:rFonts w:eastAsia="等线" w:ascii="Arial" w:hAnsi="等线" w:cs="等线"/>
          <w:i w:val="true"/>
          <w:color w:val="000000"/>
          <w:sz w:val="22"/>
        </w:rPr>
        <w:t>注：不取盘中最高价（High）是为了过滤插针极端行情，反映真实市场共识。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周期最低点 (Cycle Low):</w:t>
      </w:r>
      <w:r>
        <w:rPr>
          <w:rFonts w:eastAsia="等线" w:ascii="Arial" w:hAnsi="等线" w:cs="等线"/>
          <w:color w:val="000000"/>
          <w:sz w:val="22"/>
        </w:rPr>
        <w:t>取该时间区间内日线收盘价的最小值。通常发生在减半后的初期或周期的末尾。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Pre-Halving vs Post-Halving:</w:t>
      </w:r>
      <w:r>
        <w:rPr>
          <w:rFonts w:eastAsia="等线" w:ascii="Arial" w:hAnsi="等线" w:cs="等线"/>
          <w:color w:val="000000"/>
          <w:sz w:val="22"/>
        </w:rPr>
        <w:t>系统需支持将周期进一步切分为 “减半前 1 年” 与 “减半后 1 年” 窗口，用于分析减半效应的滞后性。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5.3 联动分析与数据版本</w:t>
      </w:r>
      <w:r>
        <w:rPr>
          <w:rFonts w:eastAsia="等线" w:ascii="Arial" w:hAnsi="等线" w:cs="等线"/>
          <w:color w:val="000000"/>
          <w:sz w:val="22"/>
        </w:rPr>
        <w:t xml:space="preserve">- </w:t>
      </w:r>
      <w:r>
        <w:rPr>
          <w:rFonts w:eastAsia="等线" w:ascii="Arial" w:hAnsi="等线" w:cs="等线"/>
          <w:b w:val="true"/>
          <w:color w:val="000000"/>
          <w:sz w:val="22"/>
        </w:rPr>
        <w:t>Top20 联动指标</w:t>
      </w:r>
      <w:r>
        <w:rPr>
          <w:rFonts w:eastAsia="等线" w:ascii="Arial" w:hAnsi="等线" w:cs="等线"/>
          <w:color w:val="000000"/>
          <w:sz w:val="22"/>
        </w:rPr>
        <w:t xml:space="preserve">：计算每个山寨币与 BTC 在同一减半周期内的相关系数（Pearson Correlation）以及滞后天数（Lag Days）。例如：“ETH 在 2020 周期中，比 BTC 晚 23 天见顶”。
- </w:t>
      </w:r>
      <w:r>
        <w:rPr>
          <w:rFonts w:eastAsia="等线" w:ascii="Arial" w:hAnsi="等线" w:cs="等线"/>
          <w:b w:val="true"/>
          <w:color w:val="000000"/>
          <w:sz w:val="22"/>
        </w:rPr>
        <w:t>数据版本控制</w:t>
      </w:r>
      <w:r>
        <w:rPr>
          <w:rFonts w:eastAsia="等线" w:ascii="Arial" w:hAnsi="等线" w:cs="等线"/>
          <w:color w:val="000000"/>
          <w:sz w:val="22"/>
        </w:rPr>
        <w:t>：考虑到历史数据可能会被数据源修正（如拆股、换币），后端每次重算周期数据时必须生成唯一的`calc_version_id`（如 `v20260207`），并在页面底部展示 “数据最后更新于：YYYY-MM-DD (v...)”，确保科研级的严谨性。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6. </w:t>
      </w:r>
      <w:r>
        <w:rPr>
          <w:rFonts w:eastAsia="等线" w:ascii="Arial" w:hAnsi="等线" w:cs="等线"/>
          <w:b w:val="true"/>
          <w:color w:val="000000"/>
          <w:sz w:val="36"/>
        </w:rPr>
        <w:t>功能需求 D：下周期预测（高/低点）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预测模块是用户最感兴趣但风险最高的部分。我们的策略是 “提供工具而非结论”，通过展示不同模型的预测区间，让用户自己判断。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6.1 产品形态与免责设计</w:t>
      </w:r>
      <w:r>
        <w:rPr>
          <w:rFonts w:eastAsia="等线" w:ascii="Arial" w:hAnsi="等线" w:cs="等线"/>
          <w:color w:val="000000"/>
          <w:sz w:val="22"/>
        </w:rPr>
        <w:t xml:space="preserve">- </w:t>
      </w:r>
      <w:r>
        <w:rPr>
          <w:rFonts w:eastAsia="等线" w:ascii="Arial" w:hAnsi="等线" w:cs="等线"/>
          <w:b w:val="true"/>
          <w:color w:val="000000"/>
          <w:sz w:val="22"/>
        </w:rPr>
        <w:t>形态</w:t>
      </w:r>
      <w:r>
        <w:rPr>
          <w:rFonts w:eastAsia="等线" w:ascii="Arial" w:hAnsi="等线" w:cs="等线"/>
          <w:color w:val="000000"/>
          <w:sz w:val="22"/>
        </w:rPr>
        <w:t xml:space="preserve">：采用 “扇形概率图 (Fan Chart)” 展示。中心实线为中位数预测，浅色区域为 70% 置信区间，最浅色区域为 90% 置信区间。
- </w:t>
      </w:r>
      <w:r>
        <w:rPr>
          <w:rFonts w:eastAsia="等线" w:ascii="Arial" w:hAnsi="等线" w:cs="等线"/>
          <w:b w:val="true"/>
          <w:color w:val="000000"/>
          <w:sz w:val="22"/>
        </w:rPr>
        <w:t>强制免责</w:t>
      </w:r>
      <w:r>
        <w:rPr>
          <w:rFonts w:eastAsia="等线" w:ascii="Arial" w:hAnsi="等线" w:cs="等线"/>
          <w:color w:val="000000"/>
          <w:sz w:val="22"/>
        </w:rPr>
        <w:t>：用户首次进入该页面，必须阅读并点击同意 “本页面仅为统计学模型演示，不代表未来价格承诺” 的弹窗，否则不可查看数据。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6.2 可插拔预测模型 (Pluggable Models)</w:t>
      </w:r>
      <w:r>
        <w:rPr>
          <w:rFonts w:eastAsia="等线" w:ascii="Arial" w:hAnsi="等线" w:cs="等线"/>
          <w:color w:val="000000"/>
          <w:sz w:val="22"/>
        </w:rPr>
        <w:t>我们将提供三种不同逻辑的模型供用户切换对比：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</w:tblGrid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模型名称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逻辑原理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输入特征 (Features)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适用场景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历史倍数递减模型 (Diminishing Returns)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假设每一轮牛市的涨幅倍数是上一轮的 X%（例如 20-30%）。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前三次周期的 ROI、减半市值。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保守估计，适合判断底线目标。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Stock-to-Flow (S2F) 变种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基于稀缺性定价。价格与（存量/产量）比率成对数线性关系。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当前流通量、每日产出量。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长期看涨视角，适合寻找理论上限。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宏观流动性回归 (Liquidity Regression)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认为 BTC 是全球流动性的放大器。价格取决于 M2 供应量。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全球 M2 指数、美元指数 DXY。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宏观分析，适合结合美联储政策使用。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6.3 回测指标与漂移处理</w:t>
      </w:r>
      <w:r>
        <w:rPr>
          <w:rFonts w:eastAsia="等线" w:ascii="Arial" w:hAnsi="等线" w:cs="等线"/>
          <w:color w:val="000000"/>
          <w:sz w:val="22"/>
        </w:rPr>
        <w:t xml:space="preserve">每个模型必须公示其在过去三个周期的回测表现：
- </w:t>
      </w:r>
      <w:r>
        <w:rPr>
          <w:rFonts w:eastAsia="等线" w:ascii="Arial" w:hAnsi="等线" w:cs="等线"/>
          <w:b w:val="true"/>
          <w:color w:val="000000"/>
          <w:sz w:val="22"/>
        </w:rPr>
        <w:t>MAPE (平均绝对百分比误差)</w:t>
      </w:r>
      <w:r>
        <w:rPr>
          <w:rFonts w:eastAsia="等线" w:ascii="Arial" w:hAnsi="等线" w:cs="等线"/>
          <w:color w:val="000000"/>
          <w:sz w:val="22"/>
        </w:rPr>
        <w:t xml:space="preserve">：衡量预测准确度。
- </w:t>
      </w:r>
      <w:r>
        <w:rPr>
          <w:rFonts w:eastAsia="等线" w:ascii="Arial" w:hAnsi="等线" w:cs="等线"/>
          <w:b w:val="true"/>
          <w:color w:val="000000"/>
          <w:sz w:val="22"/>
        </w:rPr>
        <w:t>Max Drawdown Error</w:t>
      </w:r>
      <w:r>
        <w:rPr>
          <w:rFonts w:eastAsia="等线" w:ascii="Arial" w:hAnsi="等线" w:cs="等线"/>
          <w:color w:val="000000"/>
          <w:sz w:val="22"/>
        </w:rPr>
        <w:t xml:space="preserve">：预测低点与实际低点的最大偏差。
- </w:t>
      </w:r>
      <w:r>
        <w:rPr>
          <w:rFonts w:eastAsia="等线" w:ascii="Arial" w:hAnsi="等线" w:cs="等线"/>
          <w:b w:val="true"/>
          <w:color w:val="000000"/>
          <w:sz w:val="22"/>
        </w:rPr>
        <w:t>数据漂移 (Data Drift) 应对</w:t>
      </w:r>
      <w:r>
        <w:rPr>
          <w:rFonts w:eastAsia="等线" w:ascii="Arial" w:hAnsi="等线" w:cs="等线"/>
          <w:color w:val="000000"/>
          <w:sz w:val="22"/>
        </w:rPr>
        <w:t>：当新产生的数据（如 ETF 通过后的走势）导致模型误差超过阈值（如 15%）时，系统自动标记该模型为 “需校准 (Needs Calibration)”，并降低其展示权重。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7. </w:t>
      </w:r>
      <w:r>
        <w:rPr>
          <w:rFonts w:eastAsia="等线" w:ascii="Arial" w:hAnsi="等线" w:cs="等线"/>
          <w:b w:val="true"/>
          <w:color w:val="000000"/>
          <w:sz w:val="36"/>
        </w:rPr>
        <w:t>功能需求 E：定投区间与策略回测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定投是普通用户应对周期的最佳策略。本模块的核心是将抽象的 “低买高卖” 转化为可执行的参数。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7.1 智能定投区间算法</w:t>
      </w:r>
      <w:r>
        <w:rPr>
          <w:rFonts w:eastAsia="等线" w:ascii="Arial" w:hAnsi="等线" w:cs="等线"/>
          <w:color w:val="000000"/>
          <w:sz w:val="22"/>
        </w:rPr>
        <w:t xml:space="preserve">系统不支持个性化投顾，但支持基于客观指标的区间划分：
1.  </w:t>
      </w:r>
      <w:r>
        <w:rPr>
          <w:rFonts w:eastAsia="等线" w:ascii="Arial" w:hAnsi="等线" w:cs="等线"/>
          <w:b w:val="true"/>
          <w:color w:val="000000"/>
          <w:sz w:val="22"/>
        </w:rPr>
        <w:t>AH999 定投指数</w:t>
      </w:r>
      <w:r>
        <w:rPr>
          <w:rFonts w:eastAsia="等线" w:ascii="Arial" w:hAnsi="等线" w:cs="等线"/>
          <w:color w:val="000000"/>
          <w:sz w:val="22"/>
        </w:rPr>
        <w:t xml:space="preserve">：基于拟合曲线，当价格低于 200 日定投线时，建议增加定投额度。
2.  </w:t>
      </w:r>
      <w:r>
        <w:rPr>
          <w:rFonts w:eastAsia="等线" w:ascii="Arial" w:hAnsi="等线" w:cs="等线"/>
          <w:b w:val="true"/>
          <w:color w:val="000000"/>
          <w:sz w:val="22"/>
        </w:rPr>
        <w:t>最大回撤网格 (Drawdown Grid)</w:t>
      </w:r>
      <w:r>
        <w:rPr>
          <w:rFonts w:eastAsia="等线" w:ascii="Arial" w:hAnsi="等线" w:cs="等线"/>
          <w:color w:val="000000"/>
          <w:sz w:val="22"/>
        </w:rPr>
        <w:t>：
    - 规则：从历史最高点（ATH）回撤 50% 开始，每下跌 10% 增加一倍定投额。
    - 输出：系统自动计算出当前价格对应的建议定投倍数（如：当前回撤 72%，建议 3x 定投）。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7.2 策略回测器配置表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参数分类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参数名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说明与选项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基础输入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标的资产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BTC, ETH, SOL (仅限 Top 20)。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/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定投频率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每日， 每周， 每月， 每小时 (极客模式)。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高级策略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止盈规则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“不止盈” 或 “当收益率&gt;X% 时卖出 Y%”。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/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智能加仓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勾选后，开启 “低于 MA120 线时加倍买入”。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输出结果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对比基准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自动对比 “Lump Sum (一次性买入)” 策略的收益差。</w:t>
            </w:r>
          </w:p>
        </w:tc>
      </w:tr>
    </w:tbl>
    <w:p>
      <w:pPr>
        <w:spacing w:before="120" w:after="120" w:line="288" w:lineRule="auto"/>
      </w:pP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8. </w:t>
      </w:r>
      <w:r>
        <w:rPr>
          <w:rFonts w:eastAsia="等线" w:ascii="Arial" w:hAnsi="等线" w:cs="等线"/>
          <w:b w:val="true"/>
          <w:color w:val="000000"/>
          <w:sz w:val="36"/>
        </w:rPr>
        <w:t>功能需求 F：后台与开放 API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8.1 后台管理系统 (Admin Portal)</w:t>
      </w:r>
      <w:r>
        <w:rPr>
          <w:rFonts w:eastAsia="等线" w:ascii="Arial" w:hAnsi="等线" w:cs="等线"/>
          <w:color w:val="000000"/>
          <w:sz w:val="22"/>
        </w:rPr>
        <w:t xml:space="preserve">运营人员需要一个简单的后台来维护系统的 “参数”：
- </w:t>
      </w:r>
      <w:r>
        <w:rPr>
          <w:rFonts w:eastAsia="等线" w:ascii="Arial" w:hAnsi="等线" w:cs="等线"/>
          <w:b w:val="true"/>
          <w:color w:val="000000"/>
          <w:sz w:val="22"/>
        </w:rPr>
        <w:t>数据源管理</w:t>
      </w:r>
      <w:r>
        <w:rPr>
          <w:rFonts w:eastAsia="等线" w:ascii="Arial" w:hAnsi="等线" w:cs="等线"/>
          <w:color w:val="000000"/>
          <w:sz w:val="22"/>
        </w:rPr>
        <w:t xml:space="preserve">：配置 CoinGecko API Key，设置备用 Key，监控请求配额使用率（如：已用 80% 触发报警）。
- </w:t>
      </w:r>
      <w:r>
        <w:rPr>
          <w:rFonts w:eastAsia="等线" w:ascii="Arial" w:hAnsi="等线" w:cs="等线"/>
          <w:b w:val="true"/>
          <w:color w:val="000000"/>
          <w:sz w:val="22"/>
        </w:rPr>
        <w:t>币种管理</w:t>
      </w:r>
      <w:r>
        <w:rPr>
          <w:rFonts w:eastAsia="等线" w:ascii="Arial" w:hAnsi="等线" w:cs="等线"/>
          <w:color w:val="000000"/>
          <w:sz w:val="22"/>
        </w:rPr>
        <w:t xml:space="preserve">：手动干预 Top 20 名单（例如：某项目发生严重安全事故，需紧急下架）。
- </w:t>
      </w:r>
      <w:r>
        <w:rPr>
          <w:rFonts w:eastAsia="等线" w:ascii="Arial" w:hAnsi="等线" w:cs="等线"/>
          <w:b w:val="true"/>
          <w:color w:val="000000"/>
          <w:sz w:val="22"/>
        </w:rPr>
        <w:t>公告系统</w:t>
      </w:r>
      <w:r>
        <w:rPr>
          <w:rFonts w:eastAsia="等线" w:ascii="Arial" w:hAnsi="等线" w:cs="等线"/>
          <w:color w:val="000000"/>
          <w:sz w:val="22"/>
        </w:rPr>
        <w:t>：发布全站维护通知或新的风险提示。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8.2 对外开放 API (Public API)</w:t>
      </w:r>
      <w:r>
        <w:rPr>
          <w:rFonts w:eastAsia="等线" w:ascii="Arial" w:hAnsi="等线" w:cs="等线"/>
          <w:color w:val="000000"/>
          <w:sz w:val="22"/>
        </w:rPr>
        <w:t>为了构建生态，我们将开放只读 API 供第三方调用。所有接口路径统一为 `/api/v1/...`。</w:t>
      </w:r>
    </w:p>
    <w:p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鉴权机制：</w:t>
      </w:r>
      <w:r>
        <w:rPr>
          <w:rFonts w:eastAsia="等线" w:ascii="Arial" w:hAnsi="等线" w:cs="等线"/>
          <w:color w:val="000000"/>
          <w:sz w:val="22"/>
        </w:rPr>
        <w:t>采用 `X-API-KEY` Header 鉴权。免费用户限流 60 次/分钟。</w:t>
      </w:r>
    </w:p>
    <w:p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核心接口：</w:t>
      </w:r>
      <w:r>
        <w:rPr>
          <w:rFonts w:eastAsia="等线" w:ascii="Arial" w:hAnsi="等线" w:cs="等线"/>
          <w:color w:val="000000"/>
          <w:sz w:val="22"/>
        </w:rPr>
        <w:t>1. `GET /cycles/current`：获取当前减半周期的实时进度数据。
2. `GET /cycles/history?coin=btc`：获取历史分段的高低点数据。
3. `POST /backtest/dca`：提交定投参数，返回回测结果 JSON。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9. </w:t>
      </w:r>
      <w:r>
        <w:rPr>
          <w:rFonts w:eastAsia="等线" w:ascii="Arial" w:hAnsi="等线" w:cs="等线"/>
          <w:b w:val="true"/>
          <w:color w:val="000000"/>
          <w:sz w:val="36"/>
        </w:rPr>
        <w:t>非功能需求与合规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9.1 性能与可靠性指标 (SLA)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维度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指标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验收阈值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性能 (Performance)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首屏 LCP (Largest Contentful Paint)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&lt; 1.5 秒 (全球 CDN 加速后)。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/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API 查询延迟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P95 &lt; 200ms。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可靠性 (Reliability)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系统可用性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99.9% (每月允许宕机时间 &lt; 43 分钟)。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/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容灾恢复 (RPO/RTO)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RPO &lt; 1 小时 (数据丢失量), RTO &lt; 4 小时 (恢复时间)。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9.2 安全与隐私</w:t>
      </w:r>
      <w:r>
        <w:rPr>
          <w:rFonts w:eastAsia="等线" w:ascii="Arial" w:hAnsi="等线" w:cs="等线"/>
          <w:color w:val="000000"/>
          <w:sz w:val="22"/>
        </w:rPr>
        <w:t xml:space="preserve">- </w:t>
      </w:r>
      <w:r>
        <w:rPr>
          <w:rFonts w:eastAsia="等线" w:ascii="Arial" w:hAnsi="等线" w:cs="等线"/>
          <w:b w:val="true"/>
          <w:color w:val="000000"/>
          <w:sz w:val="22"/>
        </w:rPr>
        <w:t>数据最小化</w:t>
      </w:r>
      <w:r>
        <w:rPr>
          <w:rFonts w:eastAsia="等线" w:ascii="Arial" w:hAnsi="等线" w:cs="等线"/>
          <w:color w:val="000000"/>
          <w:sz w:val="22"/>
        </w:rPr>
        <w:t xml:space="preserve">：如果涉及用户注册（待定），仅收集 Email，不收集手机号或 KYC 信息。
- </w:t>
      </w:r>
      <w:r>
        <w:rPr>
          <w:rFonts w:eastAsia="等线" w:ascii="Arial" w:hAnsi="等线" w:cs="等线"/>
          <w:b w:val="true"/>
          <w:color w:val="000000"/>
          <w:sz w:val="22"/>
        </w:rPr>
        <w:t>WAF 防护</w:t>
      </w:r>
      <w:r>
        <w:rPr>
          <w:rFonts w:eastAsia="等线" w:ascii="Arial" w:hAnsi="等线" w:cs="等线"/>
          <w:color w:val="000000"/>
          <w:sz w:val="22"/>
        </w:rPr>
        <w:t xml:space="preserve">：接入 Cloudflare 防止 DDoS 攻击，特别是针对 `/backtest` 这种计算密集型接口需配置严格的 Rate Limiting 规则。
- </w:t>
      </w:r>
      <w:r>
        <w:rPr>
          <w:rFonts w:eastAsia="等线" w:ascii="Arial" w:hAnsi="等线" w:cs="等线"/>
          <w:b w:val="true"/>
          <w:color w:val="000000"/>
          <w:sz w:val="22"/>
        </w:rPr>
        <w:t>审计日志</w:t>
      </w:r>
      <w:r>
        <w:rPr>
          <w:rFonts w:eastAsia="等线" w:ascii="Arial" w:hAnsi="等线" w:cs="等线"/>
          <w:color w:val="000000"/>
          <w:sz w:val="22"/>
        </w:rPr>
        <w:t>：后台所有敏感操作（如修改预测参数）必须记录 Operator IP 与时间戳，日志保留 6 个月。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9.3 国际化与 SEO</w:t>
      </w:r>
      <w:r>
        <w:rPr>
          <w:rFonts w:eastAsia="等线" w:ascii="Arial" w:hAnsi="等线" w:cs="等线"/>
          <w:color w:val="000000"/>
          <w:sz w:val="22"/>
        </w:rPr>
        <w:t xml:space="preserve">- </w:t>
      </w:r>
      <w:r>
        <w:rPr>
          <w:rFonts w:eastAsia="等线" w:ascii="Arial" w:hAnsi="等线" w:cs="等线"/>
          <w:b w:val="true"/>
          <w:color w:val="000000"/>
          <w:sz w:val="22"/>
        </w:rPr>
        <w:t>多语言</w:t>
      </w:r>
      <w:r>
        <w:rPr>
          <w:rFonts w:eastAsia="等线" w:ascii="Arial" w:hAnsi="等线" w:cs="等线"/>
          <w:color w:val="000000"/>
          <w:sz w:val="22"/>
        </w:rPr>
        <w:t xml:space="preserve">：架构需支持 i18n，首期支持简体中文，预留英文/日文扩展能力。
- </w:t>
      </w:r>
      <w:r>
        <w:rPr>
          <w:rFonts w:eastAsia="等线" w:ascii="Arial" w:hAnsi="等线" w:cs="等线"/>
          <w:b w:val="true"/>
          <w:color w:val="000000"/>
          <w:sz w:val="22"/>
        </w:rPr>
        <w:t>SEO 优化</w:t>
      </w:r>
      <w:r>
        <w:rPr>
          <w:rFonts w:eastAsia="等线" w:ascii="Arial" w:hAnsi="等线" w:cs="等线"/>
          <w:color w:val="000000"/>
          <w:sz w:val="22"/>
        </w:rPr>
        <w:t>：前端采用 Next.js (SSR) 渲染，对每个币种生成静态的 `/analysis/btc-cycle` 页面。必须嵌入 JSON-LD 结构化数据（FinancialProduct 类型），以便 Google 抓取富媒体结果。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10. </w:t>
      </w:r>
      <w:r>
        <w:rPr>
          <w:rFonts w:eastAsia="等线" w:ascii="Arial" w:hAnsi="等线" w:cs="等线"/>
          <w:b w:val="true"/>
          <w:color w:val="000000"/>
          <w:sz w:val="36"/>
        </w:rPr>
        <w:t>里程碑、风险与待确认事项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10.1 实施里程碑 (Roadmap)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Phase 1: MVP (Month 1-2)</w:t>
      </w:r>
      <w:r>
        <w:rPr>
          <w:rFonts w:eastAsia="等线" w:ascii="Arial" w:hAnsi="等线" w:cs="等线"/>
          <w:color w:val="000000"/>
          <w:sz w:val="22"/>
        </w:rPr>
        <w:t xml:space="preserve">
目标：核心周期数据跑通，只读模式。
- 交付：BTC 历史周期表、静态 K 线图、基础定投计算器。
- 不做：用户系统、API 开放、复杂预测模型、多币种。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Phase 2: V1.0 正式版 (Month 3-4)</w:t>
      </w:r>
      <w:r>
        <w:rPr>
          <w:rFonts w:eastAsia="等线" w:ascii="Arial" w:hAnsi="等线" w:cs="等线"/>
          <w:color w:val="000000"/>
          <w:sz w:val="22"/>
        </w:rPr>
        <w:t xml:space="preserve">
目标：全功能上线，支持山寨币。
- 交付：Top 20 币种支持、预测模型（Fan Chart）、数据导出功能、移动端适配。
- 推广：SEO 上线，社交分享图生成。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Phase 3: V2.0 开放平台 (Month 5+)</w:t>
      </w:r>
      <w:r>
        <w:rPr>
          <w:rFonts w:eastAsia="等线" w:ascii="Arial" w:hAnsi="等线" w:cs="等线"/>
          <w:color w:val="000000"/>
          <w:sz w:val="22"/>
        </w:rPr>
        <w:t xml:space="preserve">
目标：生态建设与 API 变现。
- 交付：Public API、开发者文档、多语言支持、付费会员体系（如解锁高频数据）。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10.2 关键风险与对策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风险点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可能性/影响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缓解对策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数据源合规风险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高 / 致命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严格遵守 CoinGecko 归因条款；缓存策略不超过 24h；预备 CryptoCompare 作为灾备源。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预测模型误导用户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 / 严重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所有预测页强制 “点击确认” 免责弹窗；UI 上使用模糊区间而非精确点位；避免使用 “建议买入” 等诱导词汇。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API 成本超支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 / 中等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后端严格缓存；前端请求聚合；仅在必要时刷新数据（如 K 线图不做实时 Tick 更新，仅每分钟更新）。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10.3 待确认问题清单 (To-Be-Discussed)</w:t>
      </w:r>
      <w:r>
        <w:rPr>
          <w:rFonts w:eastAsia="等线" w:ascii="Arial" w:hAnsi="等线" w:cs="等线"/>
          <w:color w:val="000000"/>
          <w:sz w:val="22"/>
        </w:rPr>
        <w:t xml:space="preserve">评审会议需重点决策以下事项：
1. </w:t>
      </w:r>
      <w:r>
        <w:rPr>
          <w:rFonts w:eastAsia="等线" w:ascii="Arial" w:hAnsi="等线" w:cs="等线"/>
          <w:b w:val="true"/>
          <w:color w:val="000000"/>
          <w:sz w:val="22"/>
        </w:rPr>
        <w:t>账号体系</w:t>
      </w:r>
      <w:r>
        <w:rPr>
          <w:rFonts w:eastAsia="等线" w:ascii="Arial" w:hAnsi="等线" w:cs="等线"/>
          <w:color w:val="000000"/>
          <w:sz w:val="22"/>
        </w:rPr>
        <w:t xml:space="preserve">：MVP 阶段是否完全放弃账号体系，仅靠浏览器本地缓存保存用户定投设置？（建议：是，以降低开发门槛与隐私合规风险）。
2. </w:t>
      </w:r>
      <w:r>
        <w:rPr>
          <w:rFonts w:eastAsia="等线" w:ascii="Arial" w:hAnsi="等线" w:cs="等线"/>
          <w:b w:val="true"/>
          <w:color w:val="000000"/>
          <w:sz w:val="22"/>
        </w:rPr>
        <w:t>交易所导流</w:t>
      </w:r>
      <w:r>
        <w:rPr>
          <w:rFonts w:eastAsia="等线" w:ascii="Arial" w:hAnsi="等线" w:cs="等线"/>
          <w:color w:val="000000"/>
          <w:sz w:val="22"/>
        </w:rPr>
        <w:t xml:space="preserve">：是否在页面添加 “去币安交易” 的 Affiliate 链接？（风险：可能被视为营销导流，需法务评估）。
3. </w:t>
      </w:r>
      <w:r>
        <w:rPr>
          <w:rFonts w:eastAsia="等线" w:ascii="Arial" w:hAnsi="等线" w:cs="等线"/>
          <w:b w:val="true"/>
          <w:color w:val="000000"/>
          <w:sz w:val="22"/>
        </w:rPr>
        <w:t>法币汇率</w:t>
      </w:r>
      <w:r>
        <w:rPr>
          <w:rFonts w:eastAsia="等线" w:ascii="Arial" w:hAnsi="等线" w:cs="等线"/>
          <w:color w:val="000000"/>
          <w:sz w:val="22"/>
        </w:rPr>
        <w:t>：对于 CNY 计价，是使用实时汇率还是固定参考汇率？（建议：使用 USDT 场外参考价或离岸人民币 CNH，更贴近圈内实际）。</w:t>
      </w:r>
    </w:p>
    <w:sectPr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2"/>
    <w:lvlOverride w:ilvl="0">
      <w:startOverride w:val="1"/>
    </w:lvlOverride>
  </w:num>
  <w:num w:numId="11">
    <w:abstractNumId w:val="202"/>
    <w:lvlOverride w:ilvl="0">
      <w:startOverride w:val="1"/>
    </w:lvlOverride>
  </w:num>
  <w:num w:numId="12">
    <w:abstractNumId w:val="202"/>
    <w:lvlOverride w:ilvl="0">
      <w:startOverride w:val="1"/>
    </w:lvlOverride>
  </w:num>
  <w:num w:numId="13">
    <w:abstractNumId w:val="202"/>
    <w:lvlOverride w:ilvl="0">
      <w:startOverride w:val="1"/>
    </w:lvlOverride>
  </w:num>
  <w:num w:numId="14">
    <w:abstractNumId w:val="202"/>
    <w:lvlOverride w:ilvl="0">
      <w:startOverride w:val="1"/>
    </w:lvlOverride>
  </w:num>
  <w:num w:numId="15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Relationship Id="rId9" Type="http://schemas.openxmlformats.org/officeDocument/2006/relationships/hyperlink" Target="https://www.coingecko.com/en/api_terms" TargetMode="External"></Relationship><Relationship Id="rId10" Type="http://schemas.openxmlformats.org/officeDocument/2006/relationships/hyperlink" Target="https://www.coingecko.com/en/api_terms" TargetMode="External"></Relationship><Relationship Id="rId11" Type="http://schemas.openxmlformats.org/officeDocument/2006/relationships/hyperlink" Target="https://www.coingecko.com/en/coins/bitcoin/bitcoin-halving" TargetMode="External"></Relationship><Relationship Id="rId12" Type="http://schemas.openxmlformats.org/officeDocument/2006/relationships/hyperlink" Target="https://www.binance.com/en/events/bitcoin-halving" TargetMode="Externa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