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Highlights</w:t>
      </w:r>
    </w:p>
    <w:p>
      <w:pPr>
        <w:pStyle w:val="ListBullet"/>
        <w:spacing w:after="40"/>
      </w:pPr>
      <w:r>
        <w:t>A five-dimensional operator makes medication exposure machine-executable.</w:t>
      </w:r>
    </w:p>
    <w:p>
      <w:pPr>
        <w:pStyle w:val="ListBullet"/>
        <w:spacing w:after="40"/>
      </w:pPr>
      <w:r>
        <w:t>Four output states prevent missing provenance from becoming false negatives.</w:t>
      </w:r>
    </w:p>
    <w:p>
      <w:pPr>
        <w:pStyle w:val="ListBullet"/>
        <w:spacing w:after="40"/>
      </w:pPr>
      <w:r>
        <w:t>Nineteen frozen MIMIC-IV parity checks passed with zero count discrepancy.</w:t>
      </w:r>
    </w:p>
    <w:p>
      <w:pPr>
        <w:pStyle w:val="ListBullet"/>
        <w:spacing w:after="40"/>
      </w:pPr>
      <w:r>
        <w:t>FHIR evaluation localized exact transport, transformation, and semantic loss.</w:t>
      </w:r>
    </w:p>
    <w:p>
      <w:pPr>
        <w:pStyle w:val="ListBullet"/>
        <w:spacing w:after="40"/>
      </w:pPr>
      <w:r>
        <w:t>None of 40 coded studies reported a complete executable exposure operator.</w:t>
      </w:r>
    </w:p>
    <w:sectPr w:rsidR="00FC693F" w:rsidRPr="0006063C" w:rsidSect="00034616"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6F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266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Journal of Biomedical Informatics submission</dc:subject>
  <dc:creator>Jiajun Luo; Qinglong Chen; Jing Liu; Fanghui Lu; Xiaolong Liang</dc:creator>
  <cp:keywords>medication exposure; provenance; EHR; FHIR; OMOP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