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RECORD/STROBE-aligned reporting checklist</w:t>
      </w:r>
    </w:p>
    <w:p>
      <w:pPr>
        <w:pStyle w:val="Heading2"/>
        <w:keepNext/>
      </w:pPr>
      <w:r>
        <w:t>Manuscript: A Machine-Executable Provenance Operator for Medication-Exposure Phenotyping Across Electronic Health Record Representations</w:t>
      </w:r>
    </w:p>
    <w:p>
      <w:r>
        <w:t>This checklist maps relevant observational secondary-data reporting items to the manuscript. The work is primarily a biomedical-informatics method and software evaluation; items specific to causal treatment-effect studies or primary participant recruitment are marked not applicable.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0" w:color="17324D"/>
          <w:bottom w:val="single" w:sz="10" w:color="17324D"/>
          <w:left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 w:val="true"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8" w:color="52667A"/>
            </w:tcBorders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17324D"/>
                <w:sz w:val="16"/>
              </w:rPr>
            </w:r>
            <w:r>
              <w:rPr>
                <w:rFonts w:ascii="Calibri" w:hAnsi="Calibri"/>
                <w:b/>
                <w:color w:val="17324D"/>
                <w:sz w:val="16"/>
              </w:rPr>
              <w:t>Item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8" w:color="52667A"/>
            </w:tcBorders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17324D"/>
                <w:sz w:val="16"/>
              </w:rPr>
            </w:r>
            <w:r>
              <w:rPr>
                <w:rFonts w:ascii="Calibri" w:hAnsi="Calibri"/>
                <w:b/>
                <w:color w:val="17324D"/>
                <w:sz w:val="16"/>
              </w:rPr>
              <w:t>Reporting element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8" w:color="52667A"/>
            </w:tcBorders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17324D"/>
                <w:sz w:val="16"/>
              </w:rPr>
            </w:r>
            <w:r>
              <w:rPr>
                <w:rFonts w:ascii="Calibri" w:hAnsi="Calibri"/>
                <w:b/>
                <w:color w:val="17324D"/>
                <w:sz w:val="16"/>
              </w:rPr>
              <w:t>Manuscript location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8" w:color="52667A"/>
            </w:tcBorders>
          </w:tcPr>
          <w:p>
            <w:pPr>
              <w:spacing w:after="0" w:line="240" w:lineRule="auto"/>
              <w:keepNext/>
            </w:pPr>
            <w:r>
              <w:rPr>
                <w:rFonts w:ascii="Calibri" w:hAnsi="Calibri"/>
                <w:b/>
                <w:color w:val="17324D"/>
                <w:sz w:val="16"/>
              </w:rPr>
            </w:r>
            <w:r>
              <w:rPr>
                <w:rFonts w:ascii="Calibri" w:hAnsi="Calibri"/>
                <w:b/>
                <w:color w:val="17324D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Identify design and routinely collected data source in title/abstract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Abstract; Methods 3.1 and 3.4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Structured summary of objectives, methods, results and conclusions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Abstract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Scientific background and rationale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Introduction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Specific objectives and method contribution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Introduction; Statement of significance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Study design and prespecified boundaries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Setting, databases, versions and access context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3.4; Supporting Methods S4–S6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Eligibility and analysis units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3.1–3.2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Variables/constructs and operational definitions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3.2; Table 1; Tables S1–S3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Source layer, coding, identity and validation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3.2–3.5; Tables S4–S10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Bias and misclassification addressed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3.5; Discussion 5.1 and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Study size rationale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Frozen available datasets and prespecified gates; Methods 3.5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Quantitative variables and transformations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3.5; Figure 5; Tables S5–S6 and S14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Statistical methods and comparison measures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 and 3.6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Missing/unavailable information handling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Four-state classifier; Methods 3.2; Table S2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Sensitivity/ablation analyses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3.5.1; Results 4.3; Tables S5–S7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Flow/counts and main descriptive results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Results 4.2–4.5; Tables 2–3; Tables S4–S11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Main estimates with precision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Results 4.7; Figure 5; Table S14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 as measurement stress tests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Other analyses and negative gates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Results 4.3–4.4; Tables S7, S9 and S10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Key results tied to objectives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Discussion 5.1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Limitations and direction of uncertainty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Discussion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Interpretation within noncausal boundary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Discussion 5.1–5.3; Table S16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Generalizability/applicability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Statement of significance; Discussion 5.3; Conclusion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Data cleaning, linkage and code-list access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Supporting Methods S1, S4–S6; repository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 without restricted rows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Database selection and representativeness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Methods 3.4; Discussion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Access to protocol, code and derived aggregate outputs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Data and code availability; Supporting reproducibility notes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Funding and funder role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Funding statement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Ethics and informed-consent boundary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Ethics statement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Competing interests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Declaration of competing interest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Participant recruitment/consent by investigators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Not applicable: deidentified secondary databases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Not applicable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Causal treatment-effect interpretation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Explicitly prohibited; Methods 3.5.4 and Discussion 5.4</w:t>
            </w:r>
          </w:p>
        </w:tc>
        <w:tc>
          <w:tcPr>
            <w:tcW w:type="dxa" w:w="24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Not applicable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2667A"/>
        <w:sz w:val="16"/>
      </w:rPr>
      <w:t>EXECUTABLE MEDICATION-EXPOSURE PROVENANCE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6F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266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RECORD/STROBE-aligned reporting checklist</dc:title>
  <dc:subject>Journal of Biomedical Informatics submission</dc:subject>
  <dc:creator>Jiajun Luo; Qinglong Chen; Jing Liu; Fanghui Lu; Xiaolong Liang</dc:creator>
  <cp:keywords>medication exposure; provenance; EHR; FHIR; OMOP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