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Declaration of Competing Interest</w:t>
      </w:r>
    </w:p>
    <w:p>
      <w:pPr>
        <w:spacing w:after="100"/>
      </w:pPr>
      <w:r>
        <w:rPr>
          <w:b/>
        </w:rPr>
        <w:t>Manuscript:</w:t>
      </w:r>
      <w:r>
        <w:t xml:space="preserve"> A Machine-Executable Provenance Operator for Medication-Exposure Phenotyping Across Electronic Health Record Representations</w:t>
      </w:r>
    </w:p>
    <w:p>
      <w:pPr>
        <w:spacing w:after="100"/>
      </w:pPr>
      <w:r>
        <w:rPr>
          <w:b/>
        </w:rPr>
        <w:t>Authors:</w:t>
      </w:r>
      <w:r>
        <w:t xml:space="preserve"> Jiajun Luo; Qinglong Chen; Jing Liu; Fanghui Lu; Xiaolong Liang</w:t>
      </w:r>
    </w:p>
    <w:p>
      <w:pPr>
        <w:spacing w:after="100"/>
      </w:pPr>
      <w: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6F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5266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</dc:title>
  <dc:subject>Journal of Biomedical Informatics submission</dc:subject>
  <dc:creator>Jiajun Luo; Qinglong Chen; Jing Liu; Fanghui Lu; Xiaolong Liang</dc:creator>
  <cp:keywords>medication exposure; provenance; EHR; FHIR; OMOP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