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Highlights</w:t>
      </w:r>
    </w:p>
    <w:p>
      <w:pPr>
        <w:pStyle w:val="ListBullet"/>
        <w:spacing w:after="40"/>
      </w:pPr>
      <w:r>
        <w:t>A five-dimensional operator makes medication exposure machine-executable.</w:t>
      </w:r>
    </w:p>
    <w:p>
      <w:pPr>
        <w:pStyle w:val="ListBullet"/>
        <w:spacing w:after="40"/>
      </w:pPr>
      <w:r>
        <w:t>Four output states prevent missing provenance from becoming false negatives.</w:t>
      </w:r>
    </w:p>
    <w:p>
      <w:pPr>
        <w:pStyle w:val="ListBullet"/>
        <w:spacing w:after="40"/>
      </w:pPr>
      <w:r>
        <w:t>OMOP record existence exposed 37/37 units; strict administration was unmeasurable.</w:t>
      </w:r>
    </w:p>
    <w:p>
      <w:pPr>
        <w:pStyle w:val="ListBullet"/>
        <w:spacing w:after="40"/>
      </w:pPr>
      <w:r>
        <w:t>FHIR role/status yielded 16.7% more positives than the event-semantic rule.</w:t>
      </w:r>
    </w:p>
    <w:p>
      <w:pPr>
        <w:pStyle w:val="ListBullet"/>
        <w:spacing w:after="40"/>
      </w:pPr>
      <w:r>
        <w:t>None of 40 coded studies reported a complete executable exposure operator.</w:t>
      </w:r>
    </w:p>
    <w:sectPr w:rsidR="00FC693F" w:rsidRPr="0006063C" w:rsidSect="00034616"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E6F7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5266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>Journal of Biomedical Informatics submission</dc:subject>
  <dc:creator>Jiajun Luo; Qinglong Chen; Jing Liu; Fanghui Lu; Xiaolong Liang</dc:creator>
  <cp:keywords>medication exposure; provenance; EHR; FHIR; OMOP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