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Supporting Information</w:t>
      </w:r>
    </w:p>
    <w:p>
      <w:pPr>
        <w:pStyle w:val="Heading2"/>
        <w:keepNext/>
      </w:pPr>
      <w:r>
        <w:t>A Machine-Executable Provenance Operator for Medication-Exposure Phenotyping Across Electronic Health Record Representations</w:t>
      </w:r>
    </w:p>
    <w:p>
      <w:r>
        <w:t>Jiajun Luo, Qinglong Chen, Jing Liu, Fanghui Lu, and Xiaolong Liang</w:t>
      </w:r>
    </w:p>
    <w:p>
      <w:pPr>
        <w:pStyle w:val="Heading1"/>
        <w:keepNext/>
      </w:pPr>
      <w:r>
        <w:t>Contents</w:t>
      </w:r>
    </w:p>
    <w:p>
      <w:pPr>
        <w:pStyle w:val="ListBullet"/>
        <w:spacing w:after="40"/>
      </w:pPr>
      <w:r>
        <w:t>Supplementary Methods 1–8</w:t>
      </w:r>
    </w:p>
    <w:p>
      <w:pPr>
        <w:pStyle w:val="ListBullet"/>
        <w:spacing w:after="40"/>
      </w:pPr>
      <w:r>
        <w:t>Tables S1–S16</w:t>
      </w:r>
    </w:p>
    <w:p>
      <w:pPr>
        <w:pStyle w:val="ListBullet"/>
        <w:spacing w:after="40"/>
      </w:pPr>
      <w:r>
        <w:t>Supplementary reproducibility notes</w:t>
      </w:r>
    </w:p>
    <w:p>
      <w:pPr>
        <w:pStyle w:val="Heading1"/>
        <w:keepNext/>
      </w:pPr>
      <w:r>
        <w:t>Supplementary Methods</w:t>
      </w:r>
    </w:p>
    <w:p>
      <w:pPr>
        <w:pStyle w:val="Heading2"/>
        <w:keepNext/>
      </w:pPr>
      <w:r>
        <w:t>S1. Contract-first development</w:t>
      </w:r>
    </w:p>
    <w:p>
      <w:r>
        <w:t>The method upgrade was governed by a frozen master contract. Scientific definitions, six drug-class whitelists, event-state rules, time windows, analysis units, ablation variants, expected parity values, adapter boundaries, and stop rules were committed before the corresponding execution. The implementation was not permitted to change an operator because a conversion rate, agreement statistic, or association estimate was small, null, or inconvenient. The earlier long-running all-table join remains recorded as an engineering implementation failure; it was not relabeled as a statistical failure.</w:t>
      </w:r>
    </w:p>
    <w:p>
      <w:r>
        <w:t>The optimized native pipeline projected required columns from compressed source files, filtered the frozen medication lists before joining, aggregated eMAR to the declared order/class status unit, deduplicated prescription and pharmacy records to prespecified order units, and joined only reduced tables. Each stage emitted a checkpoint, row count, duration, and query plan. This changed implementation cost but not the scientific contract.</w:t>
      </w:r>
    </w:p>
    <w:p>
      <w:pPr>
        <w:pStyle w:val="Heading2"/>
        <w:keepNext/>
      </w:pPr>
      <w:r>
        <w:t>S2. Operator schema and traceability</w:t>
      </w:r>
    </w:p>
    <w:p>
      <w:r>
        <w:t xml:space="preserve">The operator is defined as O=(S,I,T,E,M). The machine-readable envelope contains </w:t>
      </w:r>
      <w:r>
        <w:rPr>
          <w:rFonts w:ascii="Consolas" w:hAnsi="Consolas"/>
          <w:color w:val="1E6F74"/>
          <w:sz w:val="18"/>
        </w:rPr>
        <w:t>schema_version</w:t>
      </w:r>
      <w:r>
        <w:t xml:space="preserve">, </w:t>
      </w:r>
      <w:r>
        <w:rPr>
          <w:rFonts w:ascii="Consolas" w:hAnsi="Consolas"/>
          <w:color w:val="1E6F74"/>
          <w:sz w:val="18"/>
        </w:rPr>
        <w:t>operator_version</w:t>
      </w:r>
      <w:r>
        <w:t>, construct name, analysis unit, target event, adapter, output profile, and provenance metadata. The five scientific dimensions are mandatory. The JSON Schema rejects missing dimensions and unsupported enumerations before adapter compilation.</w:t>
      </w:r>
    </w:p>
    <w:p>
      <w:r>
        <w:t>Seven MIMIC example operators are generated from frozen contracts rather than manually edited. Each records the binding contract path and SHA-256, medication-list path and SHA-256, generator path and SHA-256, source-model version, author/date metadata, and canonical specification hash. Execution adds adapter version, evaluation level, aggregate-only status, capability decisions, and output hashes. Syntactic validity, adapter support, measurability, executability, and reproducible traceability are emitted separately.</w:t>
      </w:r>
    </w:p>
    <w:p>
      <w:pPr>
        <w:pStyle w:val="Heading2"/>
        <w:keepNext/>
      </w:pPr>
      <w:r>
        <w:t>S3. Four-state classification</w:t>
      </w:r>
    </w:p>
    <w:p>
      <w:r>
        <w:t>The source-observability gate precedes record classification. A unit cannot be called unexposed if the required source was not deployed, the adapter cannot access it, or a construct-required field is structurally absent. When source observability passes, the adapter evaluates identity, time, event semantics, and metadata in order. A positive record that passes every predicate produces exposed. Observable eligibility without a qualifying positive record produces unexposed. Ambiguous identity, unmapped event state, or record-level metadata ambiguity produces unresolved. Missing source capability or missing construct-required metadata produces unmeasurable.</w:t>
      </w:r>
    </w:p>
    <w:p>
      <w:r>
        <w:t>The distinction is scientific rather than cosmetic. For example, an order source may contain route while the corresponding administration source does not. If route is necessary to distinguish prophylactic from therapeutic anticoagulation, a route-absent administration record does not support either exposure or non-exposure to the prophylactic construct.</w:t>
      </w:r>
    </w:p>
    <w:p>
      <w:pPr>
        <w:pStyle w:val="Heading2"/>
        <w:keepNext/>
      </w:pPr>
      <w:r>
        <w:t>S4. MIMIC native interface audit</w:t>
      </w:r>
    </w:p>
    <w:p>
      <w:r>
        <w:t xml:space="preserve">The source audit covered the complete eMAR table, not a sample. It enumerated all 73 exact </w:t>
      </w:r>
      <w:r>
        <w:rPr>
          <w:rFonts w:ascii="Consolas" w:hAnsi="Consolas"/>
          <w:color w:val="1E6F74"/>
          <w:sz w:val="18"/>
        </w:rPr>
        <w:t>event_txt</w:t>
      </w:r>
      <w:r>
        <w:t xml:space="preserve"> values and measured POE linkage. The full eMAR table contained 42,808,593 rows; 96.19% linked to a nonblank POE identifier. </w:t>
      </w:r>
      <w:r>
        <w:rPr>
          <w:rFonts w:ascii="Consolas" w:hAnsi="Consolas"/>
          <w:color w:val="1E6F74"/>
          <w:sz w:val="18"/>
        </w:rPr>
        <w:t>Flushed</w:t>
      </w:r>
      <w:r>
        <w:t xml:space="preserve"> (3,350,325 rows), </w:t>
      </w:r>
      <w:r>
        <w:rPr>
          <w:rFonts w:ascii="Consolas" w:hAnsi="Consolas"/>
          <w:color w:val="1E6F74"/>
          <w:sz w:val="18"/>
        </w:rPr>
        <w:t>Confirmed</w:t>
      </w:r>
      <w:r>
        <w:t xml:space="preserve"> (1,852,934 rows), and blank event text (446,102 rows) were preserved as separate excluded categories and did not enter the strict given/not-given denominator. eMAR-detail fields were audited for dose availability and not-given reasons. The interface inventory also reproduced the prespecified case in which item 225925 existed in </w:t>
      </w:r>
      <w:r>
        <w:rPr>
          <w:rFonts w:ascii="Consolas" w:hAnsi="Consolas"/>
          <w:color w:val="1E6F74"/>
          <w:sz w:val="18"/>
        </w:rPr>
        <w:t>d_items</w:t>
      </w:r>
      <w:r>
        <w:t xml:space="preserve"> while the corresponding </w:t>
      </w:r>
      <w:r>
        <w:rPr>
          <w:rFonts w:ascii="Consolas" w:hAnsi="Consolas"/>
          <w:color w:val="1E6F74"/>
          <w:sz w:val="18"/>
        </w:rPr>
        <w:t>inputevents</w:t>
      </w:r>
      <w:r>
        <w:t xml:space="preserve"> table contained zero rows for that item.</w:t>
      </w:r>
    </w:p>
    <w:p>
      <w:r>
        <w:t>Strict administration required frozen positive event semantics and the declared identity/time rule. Broad same-class/window administration was retained only as a sensitivity operator. The primary order-to-administration conversion denominator was the frozen post-eMAR-deployment order universe.</w:t>
      </w:r>
    </w:p>
    <w:p>
      <w:pPr>
        <w:pStyle w:val="Heading2"/>
        <w:keepNext/>
      </w:pPr>
      <w:r>
        <w:t>S5. Matched native/FHIR evaluation</w:t>
      </w:r>
    </w:p>
    <w:p>
      <w:r>
        <w:t xml:space="preserve">Public native MIMIC-IV 2.2 and MIMIC-IV-on-FHIR 2.1 demonstrations were integrity-gated before evaluation. Native pharmacy records and FHIR MedicationDispense were compared at </w:t>
      </w:r>
      <w:r>
        <w:rPr>
          <w:rFonts w:ascii="Consolas" w:hAnsi="Consolas"/>
          <w:color w:val="1E6F74"/>
          <w:sz w:val="18"/>
        </w:rPr>
        <w:t>pharmacy_id × medication_class</w:t>
      </w:r>
      <w:r>
        <w:t xml:space="preserve">. MedicationRequest was compared with native prescriptions and pharmacy fields. MedicationAdministration top-level status and </w:t>
      </w:r>
      <w:r>
        <w:rPr>
          <w:rFonts w:ascii="Consolas" w:hAnsi="Consolas"/>
          <w:color w:val="1E6F74"/>
          <w:sz w:val="18"/>
        </w:rPr>
        <w:t>dosage.method</w:t>
      </w:r>
      <w:r>
        <w:t xml:space="preserve"> were evaluated separately because the latter carried the native administration event meaning. Native </w:t>
      </w:r>
      <w:r>
        <w:rPr>
          <w:rFonts w:ascii="Consolas" w:hAnsi="Consolas"/>
          <w:color w:val="1E6F74"/>
          <w:sz w:val="18"/>
        </w:rPr>
        <w:t>emar_id</w:t>
      </w:r>
      <w:r>
        <w:t xml:space="preserve"> was not required when absent from FHIR; instead, a prespecified pharmacy/class/time/semantic composite was reported as composite concordance rather than native-ID parity.</w:t>
      </w:r>
    </w:p>
    <w:p>
      <w:r>
        <w:t>The demonstration was intentionally bounded. Exact equality on a public 100-patient matched sample establishes functional cross-schema execution, not full-cohort transport or clinical validation.</w:t>
      </w:r>
    </w:p>
    <w:p>
      <w:pPr>
        <w:pStyle w:val="Heading2"/>
        <w:keepNext/>
      </w:pPr>
      <w:r>
        <w:t>S6. OMOP and eICU capability boundaries</w:t>
      </w:r>
    </w:p>
    <w:p>
      <w:r>
        <w:t xml:space="preserve">The OMOP demonstration was evaluated at two levels: record-existence drug exposure, which is directly supported by </w:t>
      </w:r>
      <w:r>
        <w:rPr>
          <w:rFonts w:ascii="Consolas" w:hAnsi="Consolas"/>
          <w:color w:val="1E6F74"/>
          <w:sz w:val="18"/>
        </w:rPr>
        <w:t>DRUG_EXPOSURE</w:t>
      </w:r>
      <w:r>
        <w:t>, and strict documented administration, which requires source event-state semantics. A synthetic four-unit provenance extension was included to test all terminal states deterministically. Removal of the extension was a prespecified semantic-loss ablation.</w:t>
      </w:r>
    </w:p>
    <w:p>
      <w:r>
        <w:t xml:space="preserve">eICU has medication, infusion, treatment, and intake/output interfaces but no native medication cross-source identity equivalent to MIMIC POE/pharmacy linkage. Therefore, exact identity reconciliation was declared unsupported before analysis. Reconciliation was limited to same stay, same frozen class, and frozen time window after class-specific feasibility gates. </w:t>
      </w:r>
      <w:r>
        <w:rPr>
          <w:rFonts w:ascii="Consolas" w:hAnsi="Consolas"/>
          <w:color w:val="1E6F74"/>
          <w:sz w:val="18"/>
        </w:rPr>
        <w:t>treatment</w:t>
      </w:r>
      <w:r>
        <w:t xml:space="preserve"> remained documentation-only and </w:t>
      </w:r>
      <w:r>
        <w:rPr>
          <w:rFonts w:ascii="Consolas" w:hAnsi="Consolas"/>
          <w:color w:val="1E6F74"/>
          <w:sz w:val="18"/>
        </w:rPr>
        <w:t>intakeOutput</w:t>
      </w:r>
      <w:r>
        <w:t xml:space="preserve"> remained excluded. No eICU result was interpreted as external validation, adherence, quality, effectiveness, or safety.</w:t>
      </w:r>
    </w:p>
    <w:p>
      <w:pPr>
        <w:pStyle w:val="Heading2"/>
        <w:keepNext/>
      </w:pPr>
      <w:r>
        <w:t>S7. Structured publication validator</w:t>
      </w:r>
    </w:p>
    <w:p>
      <w:r>
        <w:t>The validator consumed 40 human-coded structured records and did not infer fields from prose. Evidence review included 40 main articles, 55 of 56 linked supplementary files, and three article-specific repositories. Five repositories linked by articles but containing only generic MIT-LCP materials were not credited as article-specific executable code. The audit was restricted to open-access studies; the direction of selection bias is unknown.</w:t>
      </w:r>
    </w:p>
    <w:p>
      <w:r>
        <w:t>The primary coding was performed by one coder. The package includes blank second-coder instructions, an import validator, and an agreement-analysis script, but no second-coder result and no kappa are reported. This boundary is retained in the submission materials.</w:t>
      </w:r>
    </w:p>
    <w:p>
      <w:pPr>
        <w:pStyle w:val="Heading2"/>
        <w:keepNext/>
      </w:pPr>
      <w:r>
        <w:t>S8. Downstream stress-test boundary</w:t>
      </w:r>
    </w:p>
    <w:p>
      <w:r>
        <w:t>The A1 and A2 anchors were used to show propagation from operator choice to patient classification and model output. They do not estimate whether prophylactic anticoagulation or proton-pump inhibitors improve outcomes. The same frozen adjustment structure was refit under each prespecified exposure operator. Effect movement is reported on the log scale and by null-direction crossing. No P value selected an operator or result.</w:t>
      </w:r>
    </w:p>
    <w:p>
      <w:r>
        <w:br w:type="page"/>
      </w:r>
    </w:p>
    <w:p>
      <w:pPr>
        <w:pStyle w:val="Heading1"/>
        <w:keepNext/>
      </w:pPr>
      <w:r>
        <w:t>Supplementary Tables</w:t>
      </w:r>
    </w:p>
    <w:p>
      <w:pPr>
        <w:pStyle w:val="Heading2"/>
        <w:keepNext/>
      </w:pPr>
      <w:r>
        <w:t>Table S1. Required operator fields</w:t>
      </w:r>
    </w:p>
    <w:tbl>
      <w:tblPr>
        <w:tblStyle w:val="TableGrid"/>
        <w:tblW w:type="auto" w:w="0"/>
        <w:jc w:val="center"/>
        <w:tblLayout w:type="autofit"/>
        <w:tblLook w:firstColumn="1" w:firstRow="1" w:lastColumn="0" w:lastRow="0" w:noHBand="0" w:noVBand="1" w:val="04A0"/>
      </w:tblPr>
      <w:tblGrid>
        <w:gridCol w:w="3216"/>
        <w:gridCol w:w="3216"/>
        <w:gridCol w:w="3216"/>
      </w:tblGrid>
      <w:tr>
        <w:trPr>
          <w:cantSplit/>
          <w:tblHeader w:val="true"/>
        </w:trPr>
        <w:tc>
          <w:tcPr>
            <w:tcW w:type="dxa" w:w="3216"/>
            <w:vAlign w:val="center"/>
            <w:tcMar>
              <w:top w:w="70" w:type="dxa"/>
              <w:start w:w="80" w:type="dxa"/>
              <w:bottom w:w="70" w:type="dxa"/>
              <w:end w:w="80" w:type="dxa"/>
            </w:tcMar>
            <w:shd w:fill="17324D"/>
          </w:tcPr>
          <w:p>
            <w:pPr>
              <w:spacing w:after="0" w:line="240" w:lineRule="auto"/>
              <w:keepNext/>
            </w:pPr>
            <w:r>
              <w:rPr>
                <w:rFonts w:ascii="Calibri" w:hAnsi="Calibri"/>
                <w:b/>
                <w:color w:val="FFFFFF"/>
                <w:sz w:val="16"/>
              </w:rPr>
            </w:r>
            <w:r>
              <w:rPr>
                <w:rFonts w:ascii="Calibri" w:hAnsi="Calibri"/>
                <w:b/>
                <w:color w:val="FFFFFF"/>
                <w:sz w:val="16"/>
              </w:rPr>
              <w:t>Component</w:t>
            </w:r>
          </w:p>
        </w:tc>
        <w:tc>
          <w:tcPr>
            <w:tcW w:type="dxa" w:w="3216"/>
            <w:vAlign w:val="center"/>
            <w:tcMar>
              <w:top w:w="70" w:type="dxa"/>
              <w:start w:w="80" w:type="dxa"/>
              <w:bottom w:w="70" w:type="dxa"/>
              <w:end w:w="80" w:type="dxa"/>
            </w:tcMar>
            <w:shd w:fill="17324D"/>
          </w:tcPr>
          <w:p>
            <w:pPr>
              <w:spacing w:after="0" w:line="240" w:lineRule="auto"/>
              <w:keepNext/>
            </w:pPr>
            <w:r>
              <w:rPr>
                <w:rFonts w:ascii="Calibri" w:hAnsi="Calibri"/>
                <w:b/>
                <w:color w:val="FFFFFF"/>
                <w:sz w:val="16"/>
              </w:rPr>
            </w:r>
            <w:r>
              <w:rPr>
                <w:rFonts w:ascii="Calibri" w:hAnsi="Calibri"/>
                <w:b/>
                <w:color w:val="FFFFFF"/>
                <w:sz w:val="16"/>
              </w:rPr>
              <w:t>Required fields</w:t>
            </w:r>
          </w:p>
        </w:tc>
        <w:tc>
          <w:tcPr>
            <w:tcW w:type="dxa" w:w="3216"/>
            <w:vAlign w:val="center"/>
            <w:tcMar>
              <w:top w:w="70" w:type="dxa"/>
              <w:start w:w="80" w:type="dxa"/>
              <w:bottom w:w="70" w:type="dxa"/>
              <w:end w:w="80" w:type="dxa"/>
            </w:tcMar>
            <w:shd w:fill="17324D"/>
          </w:tcPr>
          <w:p>
            <w:pPr>
              <w:spacing w:after="0" w:line="240" w:lineRule="auto"/>
              <w:keepNext/>
            </w:pPr>
            <w:r>
              <w:rPr>
                <w:rFonts w:ascii="Calibri" w:hAnsi="Calibri"/>
                <w:b/>
                <w:color w:val="FFFFFF"/>
                <w:sz w:val="16"/>
              </w:rPr>
            </w:r>
            <w:r>
              <w:rPr>
                <w:rFonts w:ascii="Calibri" w:hAnsi="Calibri"/>
                <w:b/>
                <w:color w:val="FFFFFF"/>
                <w:sz w:val="16"/>
              </w:rPr>
              <w:t>Typical values</w:t>
            </w:r>
          </w:p>
        </w:tc>
      </w:tr>
      <w:tr>
        <w:trPr>
          <w:cantSplit/>
        </w:trPr>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Envelope</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schema version, operator version, construct, unit, adapter</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color w:val="1E6F74"/>
                <w:sz w:val="16"/>
              </w:rPr>
              <w:t>1.0.0</w:t>
            </w:r>
            <w:r>
              <w:rPr>
                <w:rFonts w:ascii="Calibri" w:hAnsi="Calibri"/>
                <w:sz w:val="16"/>
              </w:rPr>
              <w:t xml:space="preserve">, </w:t>
            </w:r>
            <w:r>
              <w:rPr>
                <w:rFonts w:ascii="Calibri" w:hAnsi="Calibri"/>
                <w:color w:val="1E6F74"/>
                <w:sz w:val="16"/>
              </w:rPr>
              <w:t>medprov 0.1.0</w:t>
            </w:r>
            <w:r>
              <w:rPr>
                <w:rFonts w:ascii="Calibri" w:hAnsi="Calibri"/>
                <w:sz w:val="16"/>
              </w:rPr>
              <w:t>, order unit or ICU stay</w:t>
            </w:r>
          </w:p>
        </w:tc>
      </w:tr>
      <w:tr>
        <w:trPr>
          <w:cantSplit/>
        </w:trPr>
        <w:tc>
          <w:tcPr>
            <w:tcW w:type="dxa" w:w="3216"/>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Source (S)</w:t>
            </w:r>
          </w:p>
        </w:tc>
        <w:tc>
          <w:tcPr>
            <w:tcW w:type="dxa" w:w="3216"/>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source role, resource/table, deployment, observability</w:t>
            </w:r>
          </w:p>
        </w:tc>
        <w:tc>
          <w:tcPr>
            <w:tcW w:type="dxa" w:w="3216"/>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order, pharmacy/dispense, documented administration</w:t>
            </w:r>
          </w:p>
        </w:tc>
      </w:tr>
      <w:tr>
        <w:trPr>
          <w:cantSplit/>
        </w:trPr>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Identity (I)</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vocabulary/list, keys, revision rule, deduplication, match mode</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exact POE; pharmacy/class/time composite; same class/window</w:t>
            </w:r>
          </w:p>
        </w:tc>
      </w:tr>
      <w:tr>
        <w:trPr>
          <w:cantSplit/>
        </w:trPr>
        <w:tc>
          <w:tcPr>
            <w:tcW w:type="dxa" w:w="3216"/>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Time (T)</w:t>
            </w:r>
          </w:p>
        </w:tc>
        <w:tc>
          <w:tcPr>
            <w:tcW w:type="dxa" w:w="3216"/>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origin, assignment field, boundaries, grace, censoring</w:t>
            </w:r>
          </w:p>
        </w:tc>
        <w:tc>
          <w:tcPr>
            <w:tcW w:type="dxa" w:w="3216"/>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ICU admission; hospital overlap; first 48 hours</w:t>
            </w:r>
          </w:p>
        </w:tc>
      </w:tr>
      <w:tr>
        <w:trPr>
          <w:cantSplit/>
        </w:trPr>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Event (E)</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positive, negative, excluded, unresolved, precedence</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given; held/not given; flushed/confirmed/blank</w:t>
            </w:r>
          </w:p>
        </w:tc>
      </w:tr>
      <w:tr>
        <w:trPr>
          <w:cantSplit/>
        </w:trPr>
        <w:tc>
          <w:tcPr>
            <w:tcW w:type="dxa" w:w="3216"/>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Metadata (M)</w:t>
            </w:r>
          </w:p>
        </w:tc>
        <w:tc>
          <w:tcPr>
            <w:tcW w:type="dxa" w:w="3216"/>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route, dose, unit, frequency, required values, missing policy</w:t>
            </w:r>
          </w:p>
        </w:tc>
        <w:tc>
          <w:tcPr>
            <w:tcW w:type="dxa" w:w="3216"/>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subcutaneous route required; route absent → unmeasurable</w:t>
            </w:r>
          </w:p>
        </w:tc>
      </w:tr>
      <w:tr>
        <w:trPr>
          <w:cantSplit/>
        </w:trPr>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Provenance</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contract/list/generator paths and SHA-256 values</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immutable trace from specification to aggregate output</w:t>
            </w:r>
          </w:p>
        </w:tc>
      </w:tr>
    </w:tbl>
    <w:p>
      <w:pPr>
        <w:spacing w:after="0"/>
      </w:pPr>
    </w:p>
    <w:p>
      <w:pPr>
        <w:pStyle w:val="Heading2"/>
        <w:keepNext/>
      </w:pPr>
      <w:r>
        <w:t>Table S2. Terminal states</w:t>
      </w:r>
    </w:p>
    <w:tbl>
      <w:tblPr>
        <w:tblStyle w:val="TableGrid"/>
        <w:tblW w:type="auto" w:w="0"/>
        <w:jc w:val="center"/>
        <w:tblLayout w:type="autofit"/>
        <w:tblLook w:firstColumn="1" w:firstRow="1" w:lastColumn="0" w:lastRow="0" w:noHBand="0" w:noVBand="1" w:val="04A0"/>
      </w:tblPr>
      <w:tblGrid>
        <w:gridCol w:w="3216"/>
        <w:gridCol w:w="3216"/>
        <w:gridCol w:w="3216"/>
      </w:tblGrid>
      <w:tr>
        <w:trPr>
          <w:cantSplit/>
          <w:tblHeader w:val="true"/>
        </w:trPr>
        <w:tc>
          <w:tcPr>
            <w:tcW w:type="dxa" w:w="3216"/>
            <w:vAlign w:val="center"/>
            <w:tcMar>
              <w:top w:w="70" w:type="dxa"/>
              <w:start w:w="80" w:type="dxa"/>
              <w:bottom w:w="70" w:type="dxa"/>
              <w:end w:w="80" w:type="dxa"/>
            </w:tcMar>
            <w:shd w:fill="17324D"/>
          </w:tcPr>
          <w:p>
            <w:pPr>
              <w:spacing w:after="0" w:line="240" w:lineRule="auto"/>
              <w:keepNext/>
            </w:pPr>
            <w:r>
              <w:rPr>
                <w:rFonts w:ascii="Calibri" w:hAnsi="Calibri"/>
                <w:b/>
                <w:color w:val="FFFFFF"/>
                <w:sz w:val="16"/>
              </w:rPr>
            </w:r>
            <w:r>
              <w:rPr>
                <w:rFonts w:ascii="Calibri" w:hAnsi="Calibri"/>
                <w:b/>
                <w:color w:val="FFFFFF"/>
                <w:sz w:val="16"/>
              </w:rPr>
              <w:t>State</w:t>
            </w:r>
          </w:p>
        </w:tc>
        <w:tc>
          <w:tcPr>
            <w:tcW w:type="dxa" w:w="3216"/>
            <w:vAlign w:val="center"/>
            <w:tcMar>
              <w:top w:w="70" w:type="dxa"/>
              <w:start w:w="80" w:type="dxa"/>
              <w:bottom w:w="70" w:type="dxa"/>
              <w:end w:w="80" w:type="dxa"/>
            </w:tcMar>
            <w:shd w:fill="17324D"/>
          </w:tcPr>
          <w:p>
            <w:pPr>
              <w:spacing w:after="0" w:line="240" w:lineRule="auto"/>
              <w:keepNext/>
            </w:pPr>
            <w:r>
              <w:rPr>
                <w:rFonts w:ascii="Calibri" w:hAnsi="Calibri"/>
                <w:b/>
                <w:color w:val="FFFFFF"/>
                <w:sz w:val="16"/>
              </w:rPr>
            </w:r>
            <w:r>
              <w:rPr>
                <w:rFonts w:ascii="Calibri" w:hAnsi="Calibri"/>
                <w:b/>
                <w:color w:val="FFFFFF"/>
                <w:sz w:val="16"/>
              </w:rPr>
              <w:t>Necessary condition</w:t>
            </w:r>
          </w:p>
        </w:tc>
        <w:tc>
          <w:tcPr>
            <w:tcW w:type="dxa" w:w="3216"/>
            <w:vAlign w:val="center"/>
            <w:tcMar>
              <w:top w:w="70" w:type="dxa"/>
              <w:start w:w="80" w:type="dxa"/>
              <w:bottom w:w="70" w:type="dxa"/>
              <w:end w:w="80" w:type="dxa"/>
            </w:tcMar>
            <w:shd w:fill="17324D"/>
          </w:tcPr>
          <w:p>
            <w:pPr>
              <w:spacing w:after="0" w:line="240" w:lineRule="auto"/>
              <w:keepNext/>
            </w:pPr>
            <w:r>
              <w:rPr>
                <w:rFonts w:ascii="Calibri" w:hAnsi="Calibri"/>
                <w:b/>
                <w:color w:val="FFFFFF"/>
                <w:sz w:val="16"/>
              </w:rPr>
            </w:r>
            <w:r>
              <w:rPr>
                <w:rFonts w:ascii="Calibri" w:hAnsi="Calibri"/>
                <w:b/>
                <w:color w:val="FFFFFF"/>
                <w:sz w:val="16"/>
              </w:rPr>
              <w:t>Interpretation boundary</w:t>
            </w:r>
          </w:p>
        </w:tc>
      </w:tr>
      <w:tr>
        <w:trPr>
          <w:cantSplit/>
        </w:trPr>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Exposed</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Observable source and ≥1 record passes I, T, E-positive, and M</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Documented exposure under this operator</w:t>
            </w:r>
          </w:p>
        </w:tc>
      </w:tr>
      <w:tr>
        <w:trPr>
          <w:cantSplit/>
        </w:trPr>
        <w:tc>
          <w:tcPr>
            <w:tcW w:type="dxa" w:w="3216"/>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Unexposed</w:t>
            </w:r>
          </w:p>
        </w:tc>
        <w:tc>
          <w:tcPr>
            <w:tcW w:type="dxa" w:w="3216"/>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Observable, eligible unit with no qualifying positive record</w:t>
            </w:r>
          </w:p>
        </w:tc>
        <w:tc>
          <w:tcPr>
            <w:tcW w:type="dxa" w:w="3216"/>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No qualifying documented event; not proof of no biological exposure</w:t>
            </w:r>
          </w:p>
        </w:tc>
      </w:tr>
      <w:tr>
        <w:trPr>
          <w:cantSplit/>
        </w:trPr>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Unresolved</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Relevant record exists but cannot be classified deterministically</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Retained uncertainty; not merged into either binary class</w:t>
            </w:r>
          </w:p>
        </w:tc>
      </w:tr>
      <w:tr>
        <w:trPr>
          <w:cantSplit/>
        </w:trPr>
        <w:tc>
          <w:tcPr>
            <w:tcW w:type="dxa" w:w="3216"/>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Unmeasurable</w:t>
            </w:r>
          </w:p>
        </w:tc>
        <w:tc>
          <w:tcPr>
            <w:tcW w:type="dxa" w:w="3216"/>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Source/adapter/deployment/required field unavailable</w:t>
            </w:r>
          </w:p>
        </w:tc>
        <w:tc>
          <w:tcPr>
            <w:tcW w:type="dxa" w:w="3216"/>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Construct cannot be evaluated in this representation</w:t>
            </w:r>
          </w:p>
        </w:tc>
      </w:tr>
    </w:tbl>
    <w:p>
      <w:pPr>
        <w:spacing w:after="0"/>
      </w:pPr>
    </w:p>
    <w:p>
      <w:pPr>
        <w:pStyle w:val="Heading2"/>
        <w:keepNext/>
      </w:pPr>
      <w:r>
        <w:t>Table S3. Frozen medication classes and intended use in the method evaluation</w:t>
      </w:r>
    </w:p>
    <w:tbl>
      <w:tblPr>
        <w:tblStyle w:val="TableGrid"/>
        <w:tblW w:type="auto" w:w="0"/>
        <w:jc w:val="center"/>
        <w:tblLayout w:type="autofit"/>
        <w:tblLook w:firstColumn="1" w:firstRow="1" w:lastColumn="0" w:lastRow="0" w:noHBand="0" w:noVBand="1" w:val="04A0"/>
      </w:tblPr>
      <w:tblGrid>
        <w:gridCol w:w="3216"/>
        <w:gridCol w:w="3216"/>
        <w:gridCol w:w="3216"/>
      </w:tblGrid>
      <w:tr>
        <w:trPr>
          <w:cantSplit/>
          <w:tblHeader w:val="true"/>
        </w:trPr>
        <w:tc>
          <w:tcPr>
            <w:tcW w:type="dxa" w:w="3216"/>
            <w:vAlign w:val="center"/>
            <w:tcMar>
              <w:top w:w="70" w:type="dxa"/>
              <w:start w:w="80" w:type="dxa"/>
              <w:bottom w:w="70" w:type="dxa"/>
              <w:end w:w="80" w:type="dxa"/>
            </w:tcMar>
            <w:shd w:fill="17324D"/>
          </w:tcPr>
          <w:p>
            <w:pPr>
              <w:spacing w:after="0" w:line="240" w:lineRule="auto"/>
              <w:keepNext/>
            </w:pPr>
            <w:r>
              <w:rPr>
                <w:rFonts w:ascii="Calibri" w:hAnsi="Calibri"/>
                <w:b/>
                <w:color w:val="FFFFFF"/>
                <w:sz w:val="16"/>
              </w:rPr>
            </w:r>
            <w:r>
              <w:rPr>
                <w:rFonts w:ascii="Calibri" w:hAnsi="Calibri"/>
                <w:b/>
                <w:color w:val="FFFFFF"/>
                <w:sz w:val="16"/>
              </w:rPr>
              <w:t>Frozen class</w:t>
            </w:r>
          </w:p>
        </w:tc>
        <w:tc>
          <w:tcPr>
            <w:tcW w:type="dxa" w:w="3216"/>
            <w:vAlign w:val="center"/>
            <w:tcMar>
              <w:top w:w="70" w:type="dxa"/>
              <w:start w:w="80" w:type="dxa"/>
              <w:bottom w:w="70" w:type="dxa"/>
              <w:end w:w="80" w:type="dxa"/>
            </w:tcMar>
            <w:shd w:fill="17324D"/>
          </w:tcPr>
          <w:p>
            <w:pPr>
              <w:spacing w:after="0" w:line="240" w:lineRule="auto"/>
              <w:keepNext/>
            </w:pPr>
            <w:r>
              <w:rPr>
                <w:rFonts w:ascii="Calibri" w:hAnsi="Calibri"/>
                <w:b/>
                <w:color w:val="FFFFFF"/>
                <w:sz w:val="16"/>
              </w:rPr>
            </w:r>
            <w:r>
              <w:rPr>
                <w:rFonts w:ascii="Calibri" w:hAnsi="Calibri"/>
                <w:b/>
                <w:color w:val="FFFFFF"/>
                <w:sz w:val="16"/>
              </w:rPr>
              <w:t>Primary role in evaluation</w:t>
            </w:r>
          </w:p>
        </w:tc>
        <w:tc>
          <w:tcPr>
            <w:tcW w:type="dxa" w:w="3216"/>
            <w:vAlign w:val="center"/>
            <w:tcMar>
              <w:top w:w="70" w:type="dxa"/>
              <w:start w:w="80" w:type="dxa"/>
              <w:bottom w:w="70" w:type="dxa"/>
              <w:end w:w="80" w:type="dxa"/>
            </w:tcMar>
            <w:shd w:fill="17324D"/>
          </w:tcPr>
          <w:p>
            <w:pPr>
              <w:spacing w:after="0" w:line="240" w:lineRule="auto"/>
              <w:keepNext/>
            </w:pPr>
            <w:r>
              <w:rPr>
                <w:rFonts w:ascii="Calibri" w:hAnsi="Calibri"/>
                <w:b/>
                <w:color w:val="FFFFFF"/>
                <w:sz w:val="16"/>
              </w:rPr>
            </w:r>
            <w:r>
              <w:rPr>
                <w:rFonts w:ascii="Calibri" w:hAnsi="Calibri"/>
                <w:b/>
                <w:color w:val="FFFFFF"/>
                <w:sz w:val="16"/>
              </w:rPr>
              <w:t>Prohibited reinterpretation</w:t>
            </w:r>
          </w:p>
        </w:tc>
      </w:tr>
      <w:tr>
        <w:trPr>
          <w:cantSplit/>
        </w:trPr>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Stress-ulcer prophylaxis</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Conversion and cross-representation class</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Efficacy/safety study</w:t>
            </w:r>
          </w:p>
        </w:tc>
      </w:tr>
      <w:tr>
        <w:trPr>
          <w:cantSplit/>
        </w:trPr>
        <w:tc>
          <w:tcPr>
            <w:tcW w:type="dxa" w:w="3216"/>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VTE prophylaxis after GI bleeding</w:t>
            </w:r>
          </w:p>
        </w:tc>
        <w:tc>
          <w:tcPr>
            <w:tcW w:type="dxa" w:w="3216"/>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Conversion, route measurability, A1 stress test</w:t>
            </w:r>
          </w:p>
        </w:tc>
        <w:tc>
          <w:tcPr>
            <w:tcW w:type="dxa" w:w="3216"/>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Optimal prophylaxis strategy</w:t>
            </w:r>
          </w:p>
        </w:tc>
      </w:tr>
      <w:tr>
        <w:trPr>
          <w:cantSplit/>
        </w:trPr>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Intra-abdominal antibiotics</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Conversion and eICU interface feasibility</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Comparative antibiotic effectiveness</w:t>
            </w:r>
          </w:p>
        </w:tc>
      </w:tr>
      <w:tr>
        <w:trPr>
          <w:cantSplit/>
        </w:trPr>
        <w:tc>
          <w:tcPr>
            <w:tcW w:type="dxa" w:w="3216"/>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Electrolyte replacement</w:t>
            </w:r>
          </w:p>
        </w:tc>
        <w:tc>
          <w:tcPr>
            <w:tcW w:type="dxa" w:w="3216"/>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Conversion and ambiguity gate</w:t>
            </w:r>
          </w:p>
        </w:tc>
        <w:tc>
          <w:tcPr>
            <w:tcW w:type="dxa" w:w="3216"/>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Expansion after failed gate</w:t>
            </w:r>
          </w:p>
        </w:tc>
      </w:tr>
      <w:tr>
        <w:trPr>
          <w:cantSplit/>
        </w:trPr>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Prokinetics</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Conversion and minimum-evidence gate</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Rescue by relaxing whitelist</w:t>
            </w:r>
          </w:p>
        </w:tc>
      </w:tr>
      <w:tr>
        <w:trPr>
          <w:cantSplit/>
        </w:trPr>
        <w:tc>
          <w:tcPr>
            <w:tcW w:type="dxa" w:w="3216"/>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Insulin</w:t>
            </w:r>
          </w:p>
        </w:tc>
        <w:tc>
          <w:tcPr>
            <w:tcW w:type="dxa" w:w="3216"/>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Conversion and sliding-scale/event semantics</w:t>
            </w:r>
          </w:p>
        </w:tc>
        <w:tc>
          <w:tcPr>
            <w:tcW w:type="dxa" w:w="3216"/>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Glycemic outcome prediction</w:t>
            </w:r>
          </w:p>
        </w:tc>
      </w:tr>
    </w:tbl>
    <w:p>
      <w:pPr>
        <w:spacing w:after="0"/>
      </w:pPr>
    </w:p>
    <w:p>
      <w:pPr>
        <w:pStyle w:val="Heading2"/>
        <w:keepNext/>
      </w:pPr>
      <w:r>
        <w:t>Table S4. MIMIC-IV six-class native parity</w:t>
      </w:r>
    </w:p>
    <w:tbl>
      <w:tblPr>
        <w:tblStyle w:val="TableGrid"/>
        <w:tblW w:type="auto" w:w="0"/>
        <w:jc w:val="center"/>
        <w:tblLayout w:type="autofit"/>
        <w:tblLook w:firstColumn="1" w:firstRow="1" w:lastColumn="0" w:lastRow="0" w:noHBand="0" w:noVBand="1" w:val="04A0"/>
      </w:tblPr>
      <w:tblGrid>
        <w:gridCol w:w="1930"/>
        <w:gridCol w:w="1930"/>
        <w:gridCol w:w="1930"/>
        <w:gridCol w:w="1930"/>
        <w:gridCol w:w="1930"/>
      </w:tblGrid>
      <w:tr>
        <w:trPr>
          <w:cantSplit/>
          <w:tblHeader w:val="true"/>
        </w:trPr>
        <w:tc>
          <w:tcPr>
            <w:tcW w:type="dxa" w:w="1930"/>
            <w:vAlign w:val="center"/>
            <w:tcMar>
              <w:top w:w="70" w:type="dxa"/>
              <w:start w:w="80" w:type="dxa"/>
              <w:bottom w:w="70" w:type="dxa"/>
              <w:end w:w="80" w:type="dxa"/>
            </w:tcMar>
            <w:shd w:fill="17324D"/>
          </w:tcPr>
          <w:p>
            <w:pPr>
              <w:spacing w:after="0" w:line="240" w:lineRule="auto"/>
              <w:keepNext/>
            </w:pPr>
            <w:r>
              <w:rPr>
                <w:rFonts w:ascii="Calibri" w:hAnsi="Calibri"/>
                <w:b/>
                <w:color w:val="FFFFFF"/>
                <w:sz w:val="16"/>
              </w:rPr>
            </w:r>
            <w:r>
              <w:rPr>
                <w:rFonts w:ascii="Calibri" w:hAnsi="Calibri"/>
                <w:b/>
                <w:color w:val="FFFFFF"/>
                <w:sz w:val="16"/>
              </w:rPr>
              <w:t>Medication class</w:t>
            </w:r>
          </w:p>
        </w:tc>
        <w:tc>
          <w:tcPr>
            <w:tcW w:type="dxa" w:w="1930"/>
            <w:vAlign w:val="center"/>
            <w:tcMar>
              <w:top w:w="70" w:type="dxa"/>
              <w:start w:w="80" w:type="dxa"/>
              <w:bottom w:w="70" w:type="dxa"/>
              <w:end w:w="80" w:type="dxa"/>
            </w:tcMar>
            <w:shd w:fill="17324D"/>
          </w:tcPr>
          <w:p>
            <w:pPr>
              <w:spacing w:after="0" w:line="240" w:lineRule="auto"/>
              <w:keepNext/>
            </w:pPr>
            <w:r>
              <w:rPr>
                <w:rFonts w:ascii="Calibri" w:hAnsi="Calibri"/>
                <w:b/>
                <w:color w:val="FFFFFF"/>
                <w:sz w:val="16"/>
              </w:rPr>
            </w:r>
            <w:r>
              <w:rPr>
                <w:rFonts w:ascii="Calibri" w:hAnsi="Calibri"/>
                <w:b/>
                <w:color w:val="FFFFFF"/>
                <w:sz w:val="16"/>
              </w:rPr>
              <w:t>Order units</w:t>
            </w:r>
          </w:p>
        </w:tc>
        <w:tc>
          <w:tcPr>
            <w:tcW w:type="dxa" w:w="1930"/>
            <w:vAlign w:val="center"/>
            <w:tcMar>
              <w:top w:w="70" w:type="dxa"/>
              <w:start w:w="80" w:type="dxa"/>
              <w:bottom w:w="70" w:type="dxa"/>
              <w:end w:w="80" w:type="dxa"/>
            </w:tcMar>
            <w:shd w:fill="17324D"/>
          </w:tcPr>
          <w:p>
            <w:pPr>
              <w:spacing w:after="0" w:line="240" w:lineRule="auto"/>
              <w:keepNext/>
            </w:pPr>
            <w:r>
              <w:rPr>
                <w:rFonts w:ascii="Calibri" w:hAnsi="Calibri"/>
                <w:b/>
                <w:color w:val="FFFFFF"/>
                <w:sz w:val="16"/>
              </w:rPr>
            </w:r>
            <w:r>
              <w:rPr>
                <w:rFonts w:ascii="Calibri" w:hAnsi="Calibri"/>
                <w:b/>
                <w:color w:val="FFFFFF"/>
                <w:sz w:val="16"/>
              </w:rPr>
              <w:t>Strict same-POE</w:t>
            </w:r>
          </w:p>
        </w:tc>
        <w:tc>
          <w:tcPr>
            <w:tcW w:type="dxa" w:w="1930"/>
            <w:vAlign w:val="center"/>
            <w:tcMar>
              <w:top w:w="70" w:type="dxa"/>
              <w:start w:w="80" w:type="dxa"/>
              <w:bottom w:w="70" w:type="dxa"/>
              <w:end w:w="80" w:type="dxa"/>
            </w:tcMar>
            <w:shd w:fill="17324D"/>
          </w:tcPr>
          <w:p>
            <w:pPr>
              <w:spacing w:after="0" w:line="240" w:lineRule="auto"/>
              <w:keepNext/>
            </w:pPr>
            <w:r>
              <w:rPr>
                <w:rFonts w:ascii="Calibri" w:hAnsi="Calibri"/>
                <w:b/>
                <w:color w:val="FFFFFF"/>
                <w:sz w:val="16"/>
              </w:rPr>
            </w:r>
            <w:r>
              <w:rPr>
                <w:rFonts w:ascii="Calibri" w:hAnsi="Calibri"/>
                <w:b/>
                <w:color w:val="FFFFFF"/>
                <w:sz w:val="16"/>
              </w:rPr>
              <w:t>Same-class/window</w:t>
            </w:r>
          </w:p>
        </w:tc>
        <w:tc>
          <w:tcPr>
            <w:tcW w:type="dxa" w:w="1930"/>
            <w:vAlign w:val="center"/>
            <w:tcMar>
              <w:top w:w="70" w:type="dxa"/>
              <w:start w:w="80" w:type="dxa"/>
              <w:bottom w:w="70" w:type="dxa"/>
              <w:end w:w="80" w:type="dxa"/>
            </w:tcMar>
            <w:shd w:fill="17324D"/>
          </w:tcPr>
          <w:p>
            <w:pPr>
              <w:spacing w:after="0" w:line="240" w:lineRule="auto"/>
              <w:keepNext/>
            </w:pPr>
            <w:r>
              <w:rPr>
                <w:rFonts w:ascii="Calibri" w:hAnsi="Calibri"/>
                <w:b/>
                <w:color w:val="FFFFFF"/>
                <w:sz w:val="16"/>
              </w:rPr>
            </w:r>
            <w:r>
              <w:rPr>
                <w:rFonts w:ascii="Calibri" w:hAnsi="Calibri"/>
                <w:b/>
                <w:color w:val="FFFFFF"/>
                <w:sz w:val="16"/>
              </w:rPr>
              <w:t>Parity status</w:t>
            </w:r>
          </w:p>
        </w:tc>
      </w:tr>
      <w:tr>
        <w:trPr>
          <w:cantSplit/>
        </w:trPr>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Electrolyte replacement</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113,854</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57,408</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92,717</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PASS</w:t>
            </w:r>
          </w:p>
        </w:tc>
      </w:tr>
      <w:tr>
        <w:trPr>
          <w:cantSplit/>
        </w:trPr>
        <w:tc>
          <w:tcPr>
            <w:tcW w:type="dxa" w:w="1930"/>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Insulin</w:t>
            </w:r>
          </w:p>
        </w:tc>
        <w:tc>
          <w:tcPr>
            <w:tcW w:type="dxa" w:w="1930"/>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56,081</w:t>
            </w:r>
          </w:p>
        </w:tc>
        <w:tc>
          <w:tcPr>
            <w:tcW w:type="dxa" w:w="1930"/>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38,758</w:t>
            </w:r>
          </w:p>
        </w:tc>
        <w:tc>
          <w:tcPr>
            <w:tcW w:type="dxa" w:w="1930"/>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49,598</w:t>
            </w:r>
          </w:p>
        </w:tc>
        <w:tc>
          <w:tcPr>
            <w:tcW w:type="dxa" w:w="1930"/>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PASS</w:t>
            </w:r>
          </w:p>
        </w:tc>
      </w:tr>
      <w:tr>
        <w:trPr>
          <w:cantSplit/>
        </w:trPr>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Intra-abdominal antibiotics</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49,119</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40,705</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46,479</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PASS</w:t>
            </w:r>
          </w:p>
        </w:tc>
      </w:tr>
      <w:tr>
        <w:trPr>
          <w:cantSplit/>
        </w:trPr>
        <w:tc>
          <w:tcPr>
            <w:tcW w:type="dxa" w:w="1930"/>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Prokinetic</w:t>
            </w:r>
          </w:p>
        </w:tc>
        <w:tc>
          <w:tcPr>
            <w:tcW w:type="dxa" w:w="1930"/>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2,329</w:t>
            </w:r>
          </w:p>
        </w:tc>
        <w:tc>
          <w:tcPr>
            <w:tcW w:type="dxa" w:w="1930"/>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1,855</w:t>
            </w:r>
          </w:p>
        </w:tc>
        <w:tc>
          <w:tcPr>
            <w:tcW w:type="dxa" w:w="1930"/>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1,986</w:t>
            </w:r>
          </w:p>
        </w:tc>
        <w:tc>
          <w:tcPr>
            <w:tcW w:type="dxa" w:w="1930"/>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PASS</w:t>
            </w:r>
          </w:p>
        </w:tc>
      </w:tr>
      <w:tr>
        <w:trPr>
          <w:cantSplit/>
        </w:trPr>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Stress-ulcer prophylaxis</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24,655</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18,730</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21,501</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PASS</w:t>
            </w:r>
          </w:p>
        </w:tc>
      </w:tr>
      <w:tr>
        <w:trPr>
          <w:cantSplit/>
        </w:trPr>
        <w:tc>
          <w:tcPr>
            <w:tcW w:type="dxa" w:w="1930"/>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VTE prophylaxis</w:t>
            </w:r>
          </w:p>
        </w:tc>
        <w:tc>
          <w:tcPr>
            <w:tcW w:type="dxa" w:w="1930"/>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18,133</w:t>
            </w:r>
          </w:p>
        </w:tc>
        <w:tc>
          <w:tcPr>
            <w:tcW w:type="dxa" w:w="1930"/>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13,434</w:t>
            </w:r>
          </w:p>
        </w:tc>
        <w:tc>
          <w:tcPr>
            <w:tcW w:type="dxa" w:w="1930"/>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15,074</w:t>
            </w:r>
          </w:p>
        </w:tc>
        <w:tc>
          <w:tcPr>
            <w:tcW w:type="dxa" w:w="1930"/>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PASS</w:t>
            </w:r>
          </w:p>
        </w:tc>
      </w:tr>
      <w:tr>
        <w:trPr>
          <w:cantSplit/>
        </w:trPr>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Total</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264,171</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170,890</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227,355</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PASS</w:t>
            </w:r>
          </w:p>
        </w:tc>
      </w:tr>
    </w:tbl>
    <w:p>
      <w:pPr>
        <w:spacing w:after="0"/>
      </w:pPr>
    </w:p>
    <w:p>
      <w:pPr>
        <w:pStyle w:val="Heading2"/>
        <w:keepNext/>
      </w:pPr>
      <w:r>
        <w:t>Table S5. Prespecified A1/A2 operator ablation</w:t>
      </w:r>
    </w:p>
    <w:tbl>
      <w:tblPr>
        <w:tblStyle w:val="TableGrid"/>
        <w:tblW w:type="auto" w:w="0"/>
        <w:jc w:val="center"/>
        <w:tblLayout w:type="autofit"/>
        <w:tblLook w:firstColumn="1" w:firstRow="1" w:lastColumn="0" w:lastRow="0" w:noHBand="0" w:noVBand="1" w:val="04A0"/>
      </w:tblPr>
      <w:tblGrid>
        <w:gridCol w:w="1608"/>
        <w:gridCol w:w="1608"/>
        <w:gridCol w:w="1608"/>
        <w:gridCol w:w="1608"/>
        <w:gridCol w:w="1608"/>
        <w:gridCol w:w="1608"/>
      </w:tblGrid>
      <w:tr>
        <w:trPr>
          <w:cantSplit/>
          <w:tblHeader w:val="true"/>
        </w:trPr>
        <w:tc>
          <w:tcPr>
            <w:tcW w:type="dxa" w:w="1608"/>
            <w:vAlign w:val="center"/>
            <w:tcMar>
              <w:top w:w="70" w:type="dxa"/>
              <w:start w:w="80" w:type="dxa"/>
              <w:bottom w:w="70" w:type="dxa"/>
              <w:end w:w="80" w:type="dxa"/>
            </w:tcMar>
            <w:shd w:fill="17324D"/>
          </w:tcPr>
          <w:p>
            <w:pPr>
              <w:spacing w:after="0" w:line="240" w:lineRule="auto"/>
              <w:keepNext/>
            </w:pPr>
            <w:r>
              <w:rPr>
                <w:rFonts w:ascii="Calibri" w:hAnsi="Calibri"/>
                <w:b/>
                <w:color w:val="FFFFFF"/>
                <w:sz w:val="16"/>
              </w:rPr>
            </w:r>
            <w:r>
              <w:rPr>
                <w:rFonts w:ascii="Calibri" w:hAnsi="Calibri"/>
                <w:b/>
                <w:color w:val="FFFFFF"/>
                <w:sz w:val="16"/>
              </w:rPr>
              <w:t>Anchor</w:t>
            </w:r>
          </w:p>
        </w:tc>
        <w:tc>
          <w:tcPr>
            <w:tcW w:type="dxa" w:w="1608"/>
            <w:vAlign w:val="center"/>
            <w:tcMar>
              <w:top w:w="70" w:type="dxa"/>
              <w:start w:w="80" w:type="dxa"/>
              <w:bottom w:w="70" w:type="dxa"/>
              <w:end w:w="80" w:type="dxa"/>
            </w:tcMar>
            <w:shd w:fill="17324D"/>
          </w:tcPr>
          <w:p>
            <w:pPr>
              <w:spacing w:after="0" w:line="240" w:lineRule="auto"/>
              <w:keepNext/>
            </w:pPr>
            <w:r>
              <w:rPr>
                <w:rFonts w:ascii="Calibri" w:hAnsi="Calibri"/>
                <w:b/>
                <w:color w:val="FFFFFF"/>
                <w:sz w:val="16"/>
              </w:rPr>
            </w:r>
            <w:r>
              <w:rPr>
                <w:rFonts w:ascii="Calibri" w:hAnsi="Calibri"/>
                <w:b/>
                <w:color w:val="FFFFFF"/>
                <w:sz w:val="16"/>
              </w:rPr>
              <w:t>Operator</w:t>
            </w:r>
          </w:p>
        </w:tc>
        <w:tc>
          <w:tcPr>
            <w:tcW w:type="dxa" w:w="1608"/>
            <w:vAlign w:val="center"/>
            <w:tcMar>
              <w:top w:w="70" w:type="dxa"/>
              <w:start w:w="80" w:type="dxa"/>
              <w:bottom w:w="70" w:type="dxa"/>
              <w:end w:w="80" w:type="dxa"/>
            </w:tcMar>
            <w:shd w:fill="17324D"/>
          </w:tcPr>
          <w:p>
            <w:pPr>
              <w:spacing w:after="0" w:line="240" w:lineRule="auto"/>
              <w:keepNext/>
            </w:pPr>
            <w:r>
              <w:rPr>
                <w:rFonts w:ascii="Calibri" w:hAnsi="Calibri"/>
                <w:b/>
                <w:color w:val="FFFFFF"/>
                <w:sz w:val="16"/>
              </w:rPr>
            </w:r>
            <w:r>
              <w:rPr>
                <w:rFonts w:ascii="Calibri" w:hAnsi="Calibri"/>
                <w:b/>
                <w:color w:val="FFFFFF"/>
                <w:sz w:val="16"/>
              </w:rPr>
              <w:t>Exposed</w:t>
            </w:r>
          </w:p>
        </w:tc>
        <w:tc>
          <w:tcPr>
            <w:tcW w:type="dxa" w:w="1608"/>
            <w:vAlign w:val="center"/>
            <w:tcMar>
              <w:top w:w="70" w:type="dxa"/>
              <w:start w:w="80" w:type="dxa"/>
              <w:bottom w:w="70" w:type="dxa"/>
              <w:end w:w="80" w:type="dxa"/>
            </w:tcMar>
            <w:shd w:fill="17324D"/>
          </w:tcPr>
          <w:p>
            <w:pPr>
              <w:spacing w:after="0" w:line="240" w:lineRule="auto"/>
              <w:keepNext/>
            </w:pPr>
            <w:r>
              <w:rPr>
                <w:rFonts w:ascii="Calibri" w:hAnsi="Calibri"/>
                <w:b/>
                <w:color w:val="FFFFFF"/>
                <w:sz w:val="16"/>
              </w:rPr>
            </w:r>
            <w:r>
              <w:rPr>
                <w:rFonts w:ascii="Calibri" w:hAnsi="Calibri"/>
                <w:b/>
                <w:color w:val="FFFFFF"/>
                <w:sz w:val="16"/>
              </w:rPr>
              <w:t>Unexposed</w:t>
            </w:r>
          </w:p>
        </w:tc>
        <w:tc>
          <w:tcPr>
            <w:tcW w:type="dxa" w:w="1608"/>
            <w:vAlign w:val="center"/>
            <w:tcMar>
              <w:top w:w="70" w:type="dxa"/>
              <w:start w:w="80" w:type="dxa"/>
              <w:bottom w:w="70" w:type="dxa"/>
              <w:end w:w="80" w:type="dxa"/>
            </w:tcMar>
            <w:shd w:fill="17324D"/>
          </w:tcPr>
          <w:p>
            <w:pPr>
              <w:spacing w:after="0" w:line="240" w:lineRule="auto"/>
              <w:keepNext/>
            </w:pPr>
            <w:r>
              <w:rPr>
                <w:rFonts w:ascii="Calibri" w:hAnsi="Calibri"/>
                <w:b/>
                <w:color w:val="FFFFFF"/>
                <w:sz w:val="16"/>
              </w:rPr>
            </w:r>
            <w:r>
              <w:rPr>
                <w:rFonts w:ascii="Calibri" w:hAnsi="Calibri"/>
                <w:b/>
                <w:color w:val="FFFFFF"/>
                <w:sz w:val="16"/>
              </w:rPr>
              <w:t>Unresolved</w:t>
            </w:r>
          </w:p>
        </w:tc>
        <w:tc>
          <w:tcPr>
            <w:tcW w:type="dxa" w:w="1608"/>
            <w:vAlign w:val="center"/>
            <w:tcMar>
              <w:top w:w="70" w:type="dxa"/>
              <w:start w:w="80" w:type="dxa"/>
              <w:bottom w:w="70" w:type="dxa"/>
              <w:end w:w="80" w:type="dxa"/>
            </w:tcMar>
            <w:shd w:fill="17324D"/>
          </w:tcPr>
          <w:p>
            <w:pPr>
              <w:spacing w:after="0" w:line="240" w:lineRule="auto"/>
              <w:keepNext/>
            </w:pPr>
            <w:r>
              <w:rPr>
                <w:rFonts w:ascii="Calibri" w:hAnsi="Calibri"/>
                <w:b/>
                <w:color w:val="FFFFFF"/>
                <w:sz w:val="16"/>
              </w:rPr>
            </w:r>
            <w:r>
              <w:rPr>
                <w:rFonts w:ascii="Calibri" w:hAnsi="Calibri"/>
                <w:b/>
                <w:color w:val="FFFFFF"/>
                <w:sz w:val="16"/>
              </w:rPr>
              <w:t>Unmeasurable</w:t>
            </w:r>
          </w:p>
        </w:tc>
      </w:tr>
      <w:tr>
        <w:trPr>
          <w:cantSplit/>
        </w:trPr>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A1</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Table-only</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12,950</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7,298</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w:t>
            </w:r>
          </w:p>
        </w:tc>
      </w:tr>
      <w:tr>
        <w:trPr>
          <w:cantSplit/>
        </w:trPr>
        <w:tc>
          <w:tcPr>
            <w:tcW w:type="dxa" w:w="1608"/>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A1</w:t>
            </w:r>
          </w:p>
        </w:tc>
        <w:tc>
          <w:tcPr>
            <w:tcW w:type="dxa" w:w="1608"/>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Source + class + window</w:t>
            </w:r>
          </w:p>
        </w:tc>
        <w:tc>
          <w:tcPr>
            <w:tcW w:type="dxa" w:w="1608"/>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12,362</w:t>
            </w:r>
          </w:p>
        </w:tc>
        <w:tc>
          <w:tcPr>
            <w:tcW w:type="dxa" w:w="1608"/>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7,886</w:t>
            </w:r>
          </w:p>
        </w:tc>
        <w:tc>
          <w:tcPr>
            <w:tcW w:type="dxa" w:w="1608"/>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0</w:t>
            </w:r>
          </w:p>
        </w:tc>
        <w:tc>
          <w:tcPr>
            <w:tcW w:type="dxa" w:w="1608"/>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0</w:t>
            </w:r>
          </w:p>
        </w:tc>
      </w:tr>
      <w:tr>
        <w:trPr>
          <w:cantSplit/>
        </w:trPr>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A1</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Collapsed event semantics</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12,722</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7,526</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w:t>
            </w:r>
          </w:p>
        </w:tc>
      </w:tr>
      <w:tr>
        <w:trPr>
          <w:cantSplit/>
        </w:trPr>
        <w:tc>
          <w:tcPr>
            <w:tcW w:type="dxa" w:w="1608"/>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A1</w:t>
            </w:r>
          </w:p>
        </w:tc>
        <w:tc>
          <w:tcPr>
            <w:tcW w:type="dxa" w:w="1608"/>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Full exact-identity</w:t>
            </w:r>
          </w:p>
        </w:tc>
        <w:tc>
          <w:tcPr>
            <w:tcW w:type="dxa" w:w="1608"/>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5,538</w:t>
            </w:r>
          </w:p>
        </w:tc>
        <w:tc>
          <w:tcPr>
            <w:tcW w:type="dxa" w:w="1608"/>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14,710</w:t>
            </w:r>
          </w:p>
        </w:tc>
        <w:tc>
          <w:tcPr>
            <w:tcW w:type="dxa" w:w="1608"/>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0</w:t>
            </w:r>
          </w:p>
        </w:tc>
        <w:tc>
          <w:tcPr>
            <w:tcW w:type="dxa" w:w="1608"/>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0</w:t>
            </w:r>
          </w:p>
        </w:tc>
      </w:tr>
      <w:tr>
        <w:trPr>
          <w:cantSplit/>
        </w:trPr>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A1</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Route required</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20,248</w:t>
            </w:r>
          </w:p>
        </w:tc>
      </w:tr>
      <w:tr>
        <w:trPr>
          <w:cantSplit/>
        </w:trPr>
        <w:tc>
          <w:tcPr>
            <w:tcW w:type="dxa" w:w="1608"/>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A2</w:t>
            </w:r>
          </w:p>
        </w:tc>
        <w:tc>
          <w:tcPr>
            <w:tcW w:type="dxa" w:w="1608"/>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Table-only</w:t>
            </w:r>
          </w:p>
        </w:tc>
        <w:tc>
          <w:tcPr>
            <w:tcW w:type="dxa" w:w="1608"/>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1,061</w:t>
            </w:r>
          </w:p>
        </w:tc>
        <w:tc>
          <w:tcPr>
            <w:tcW w:type="dxa" w:w="1608"/>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1,752</w:t>
            </w:r>
          </w:p>
        </w:tc>
        <w:tc>
          <w:tcPr>
            <w:tcW w:type="dxa" w:w="1608"/>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0</w:t>
            </w:r>
          </w:p>
        </w:tc>
        <w:tc>
          <w:tcPr>
            <w:tcW w:type="dxa" w:w="1608"/>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0</w:t>
            </w:r>
          </w:p>
        </w:tc>
      </w:tr>
      <w:tr>
        <w:trPr>
          <w:cantSplit/>
        </w:trPr>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A2</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Source + class + window</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870</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1,943</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w:t>
            </w:r>
          </w:p>
        </w:tc>
      </w:tr>
      <w:tr>
        <w:trPr>
          <w:cantSplit/>
        </w:trPr>
        <w:tc>
          <w:tcPr>
            <w:tcW w:type="dxa" w:w="1608"/>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A2</w:t>
            </w:r>
          </w:p>
        </w:tc>
        <w:tc>
          <w:tcPr>
            <w:tcW w:type="dxa" w:w="1608"/>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Collapsed event semantics</w:t>
            </w:r>
          </w:p>
        </w:tc>
        <w:tc>
          <w:tcPr>
            <w:tcW w:type="dxa" w:w="1608"/>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871</w:t>
            </w:r>
          </w:p>
        </w:tc>
        <w:tc>
          <w:tcPr>
            <w:tcW w:type="dxa" w:w="1608"/>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1,942</w:t>
            </w:r>
          </w:p>
        </w:tc>
        <w:tc>
          <w:tcPr>
            <w:tcW w:type="dxa" w:w="1608"/>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0</w:t>
            </w:r>
          </w:p>
        </w:tc>
        <w:tc>
          <w:tcPr>
            <w:tcW w:type="dxa" w:w="1608"/>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0</w:t>
            </w:r>
          </w:p>
        </w:tc>
      </w:tr>
      <w:tr>
        <w:trPr>
          <w:cantSplit/>
        </w:trPr>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A2</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Full exact-identity</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518</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2,295</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w:t>
            </w:r>
          </w:p>
        </w:tc>
      </w:tr>
    </w:tbl>
    <w:p>
      <w:pPr>
        <w:spacing w:after="0"/>
      </w:pPr>
    </w:p>
    <w:p>
      <w:pPr>
        <w:pStyle w:val="Heading2"/>
        <w:keepNext/>
      </w:pPr>
      <w:r>
        <w:t>Table S6. Agreement and Jaccard similarity</w:t>
      </w:r>
    </w:p>
    <w:tbl>
      <w:tblPr>
        <w:tblStyle w:val="TableGrid"/>
        <w:tblW w:type="auto" w:w="0"/>
        <w:jc w:val="center"/>
        <w:tblLayout w:type="autofit"/>
        <w:tblLook w:firstColumn="1" w:firstRow="1" w:lastColumn="0" w:lastRow="0" w:noHBand="0" w:noVBand="1" w:val="04A0"/>
      </w:tblPr>
      <w:tblGrid>
        <w:gridCol w:w="1608"/>
        <w:gridCol w:w="1608"/>
        <w:gridCol w:w="1608"/>
        <w:gridCol w:w="1608"/>
        <w:gridCol w:w="1608"/>
        <w:gridCol w:w="1608"/>
      </w:tblGrid>
      <w:tr>
        <w:trPr>
          <w:cantSplit/>
          <w:tblHeader w:val="true"/>
        </w:trPr>
        <w:tc>
          <w:tcPr>
            <w:tcW w:type="dxa" w:w="1608"/>
            <w:vAlign w:val="center"/>
            <w:tcMar>
              <w:top w:w="70" w:type="dxa"/>
              <w:start w:w="80" w:type="dxa"/>
              <w:bottom w:w="70" w:type="dxa"/>
              <w:end w:w="80" w:type="dxa"/>
            </w:tcMar>
            <w:shd w:fill="17324D"/>
          </w:tcPr>
          <w:p>
            <w:pPr>
              <w:spacing w:after="0" w:line="240" w:lineRule="auto"/>
              <w:keepNext/>
            </w:pPr>
            <w:r>
              <w:rPr>
                <w:rFonts w:ascii="Calibri" w:hAnsi="Calibri"/>
                <w:b/>
                <w:color w:val="FFFFFF"/>
                <w:sz w:val="16"/>
              </w:rPr>
            </w:r>
            <w:r>
              <w:rPr>
                <w:rFonts w:ascii="Calibri" w:hAnsi="Calibri"/>
                <w:b/>
                <w:color w:val="FFFFFF"/>
                <w:sz w:val="16"/>
              </w:rPr>
              <w:t>Anchor</w:t>
            </w:r>
          </w:p>
        </w:tc>
        <w:tc>
          <w:tcPr>
            <w:tcW w:type="dxa" w:w="1608"/>
            <w:vAlign w:val="center"/>
            <w:tcMar>
              <w:top w:w="70" w:type="dxa"/>
              <w:start w:w="80" w:type="dxa"/>
              <w:bottom w:w="70" w:type="dxa"/>
              <w:end w:w="80" w:type="dxa"/>
            </w:tcMar>
            <w:shd w:fill="17324D"/>
          </w:tcPr>
          <w:p>
            <w:pPr>
              <w:spacing w:after="0" w:line="240" w:lineRule="auto"/>
              <w:keepNext/>
            </w:pPr>
            <w:r>
              <w:rPr>
                <w:rFonts w:ascii="Calibri" w:hAnsi="Calibri"/>
                <w:b/>
                <w:color w:val="FFFFFF"/>
                <w:sz w:val="16"/>
              </w:rPr>
            </w:r>
            <w:r>
              <w:rPr>
                <w:rFonts w:ascii="Calibri" w:hAnsi="Calibri"/>
                <w:b/>
                <w:color w:val="FFFFFF"/>
                <w:sz w:val="16"/>
              </w:rPr>
              <w:t>Comparison</w:t>
            </w:r>
          </w:p>
        </w:tc>
        <w:tc>
          <w:tcPr>
            <w:tcW w:type="dxa" w:w="1608"/>
            <w:vAlign w:val="center"/>
            <w:tcMar>
              <w:top w:w="70" w:type="dxa"/>
              <w:start w:w="80" w:type="dxa"/>
              <w:bottom w:w="70" w:type="dxa"/>
              <w:end w:w="80" w:type="dxa"/>
            </w:tcMar>
            <w:shd w:fill="17324D"/>
          </w:tcPr>
          <w:p>
            <w:pPr>
              <w:spacing w:after="0" w:line="240" w:lineRule="auto"/>
              <w:keepNext/>
            </w:pPr>
            <w:r>
              <w:rPr>
                <w:rFonts w:ascii="Calibri" w:hAnsi="Calibri"/>
                <w:b/>
                <w:color w:val="FFFFFF"/>
                <w:sz w:val="16"/>
              </w:rPr>
            </w:r>
            <w:r>
              <w:rPr>
                <w:rFonts w:ascii="Calibri" w:hAnsi="Calibri"/>
                <w:b/>
                <w:color w:val="FFFFFF"/>
                <w:sz w:val="16"/>
              </w:rPr>
              <w:t>Agreement</w:t>
            </w:r>
          </w:p>
        </w:tc>
        <w:tc>
          <w:tcPr>
            <w:tcW w:type="dxa" w:w="1608"/>
            <w:vAlign w:val="center"/>
            <w:tcMar>
              <w:top w:w="70" w:type="dxa"/>
              <w:start w:w="80" w:type="dxa"/>
              <w:bottom w:w="70" w:type="dxa"/>
              <w:end w:w="80" w:type="dxa"/>
            </w:tcMar>
            <w:shd w:fill="17324D"/>
          </w:tcPr>
          <w:p>
            <w:pPr>
              <w:spacing w:after="0" w:line="240" w:lineRule="auto"/>
              <w:keepNext/>
            </w:pPr>
            <w:r>
              <w:rPr>
                <w:rFonts w:ascii="Calibri" w:hAnsi="Calibri"/>
                <w:b/>
                <w:color w:val="FFFFFF"/>
                <w:sz w:val="16"/>
              </w:rPr>
            </w:r>
            <w:r>
              <w:rPr>
                <w:rFonts w:ascii="Calibri" w:hAnsi="Calibri"/>
                <w:b/>
                <w:color w:val="FFFFFF"/>
                <w:sz w:val="16"/>
              </w:rPr>
              <w:t>Positive agreement</w:t>
            </w:r>
          </w:p>
        </w:tc>
        <w:tc>
          <w:tcPr>
            <w:tcW w:type="dxa" w:w="1608"/>
            <w:vAlign w:val="center"/>
            <w:tcMar>
              <w:top w:w="70" w:type="dxa"/>
              <w:start w:w="80" w:type="dxa"/>
              <w:bottom w:w="70" w:type="dxa"/>
              <w:end w:w="80" w:type="dxa"/>
            </w:tcMar>
            <w:shd w:fill="17324D"/>
          </w:tcPr>
          <w:p>
            <w:pPr>
              <w:spacing w:after="0" w:line="240" w:lineRule="auto"/>
              <w:keepNext/>
            </w:pPr>
            <w:r>
              <w:rPr>
                <w:rFonts w:ascii="Calibri" w:hAnsi="Calibri"/>
                <w:b/>
                <w:color w:val="FFFFFF"/>
                <w:sz w:val="16"/>
              </w:rPr>
            </w:r>
            <w:r>
              <w:rPr>
                <w:rFonts w:ascii="Calibri" w:hAnsi="Calibri"/>
                <w:b/>
                <w:color w:val="FFFFFF"/>
                <w:sz w:val="16"/>
              </w:rPr>
              <w:t>Negative agreement</w:t>
            </w:r>
          </w:p>
        </w:tc>
        <w:tc>
          <w:tcPr>
            <w:tcW w:type="dxa" w:w="1608"/>
            <w:vAlign w:val="center"/>
            <w:tcMar>
              <w:top w:w="70" w:type="dxa"/>
              <w:start w:w="80" w:type="dxa"/>
              <w:bottom w:w="70" w:type="dxa"/>
              <w:end w:w="80" w:type="dxa"/>
            </w:tcMar>
            <w:shd w:fill="17324D"/>
          </w:tcPr>
          <w:p>
            <w:pPr>
              <w:spacing w:after="0" w:line="240" w:lineRule="auto"/>
              <w:keepNext/>
            </w:pPr>
            <w:r>
              <w:rPr>
                <w:rFonts w:ascii="Calibri" w:hAnsi="Calibri"/>
                <w:b/>
                <w:color w:val="FFFFFF"/>
                <w:sz w:val="16"/>
              </w:rPr>
            </w:r>
            <w:r>
              <w:rPr>
                <w:rFonts w:ascii="Calibri" w:hAnsi="Calibri"/>
                <w:b/>
                <w:color w:val="FFFFFF"/>
                <w:sz w:val="16"/>
              </w:rPr>
              <w:t>Jaccard</w:t>
            </w:r>
          </w:p>
        </w:tc>
      </w:tr>
      <w:tr>
        <w:trPr>
          <w:cantSplit/>
        </w:trPr>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A1</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Full strict vs table-only</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0.634</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0.599</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0.663</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0.428</w:t>
            </w:r>
          </w:p>
        </w:tc>
      </w:tr>
      <w:tr>
        <w:trPr>
          <w:cantSplit/>
        </w:trPr>
        <w:tc>
          <w:tcPr>
            <w:tcW w:type="dxa" w:w="1608"/>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A1</w:t>
            </w:r>
          </w:p>
        </w:tc>
        <w:tc>
          <w:tcPr>
            <w:tcW w:type="dxa" w:w="1608"/>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Full strict vs source/class/window</w:t>
            </w:r>
          </w:p>
        </w:tc>
        <w:tc>
          <w:tcPr>
            <w:tcW w:type="dxa" w:w="1608"/>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0.663</w:t>
            </w:r>
          </w:p>
        </w:tc>
        <w:tc>
          <w:tcPr>
            <w:tcW w:type="dxa" w:w="1608"/>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0.619</w:t>
            </w:r>
          </w:p>
        </w:tc>
        <w:tc>
          <w:tcPr>
            <w:tcW w:type="dxa" w:w="1608"/>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0.698</w:t>
            </w:r>
          </w:p>
        </w:tc>
        <w:tc>
          <w:tcPr>
            <w:tcW w:type="dxa" w:w="1608"/>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0.448</w:t>
            </w:r>
          </w:p>
        </w:tc>
      </w:tr>
      <w:tr>
        <w:trPr>
          <w:cantSplit/>
        </w:trPr>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A1</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Full strict vs collapsed semantics</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0.645</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0.607</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0.677</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0.435</w:t>
            </w:r>
          </w:p>
        </w:tc>
      </w:tr>
      <w:tr>
        <w:trPr>
          <w:cantSplit/>
        </w:trPr>
        <w:tc>
          <w:tcPr>
            <w:tcW w:type="dxa" w:w="1608"/>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A2</w:t>
            </w:r>
          </w:p>
        </w:tc>
        <w:tc>
          <w:tcPr>
            <w:tcW w:type="dxa" w:w="1608"/>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Full strict vs table-only</w:t>
            </w:r>
          </w:p>
        </w:tc>
        <w:tc>
          <w:tcPr>
            <w:tcW w:type="dxa" w:w="1608"/>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0.807</w:t>
            </w:r>
          </w:p>
        </w:tc>
        <w:tc>
          <w:tcPr>
            <w:tcW w:type="dxa" w:w="1608"/>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0.656</w:t>
            </w:r>
          </w:p>
        </w:tc>
        <w:tc>
          <w:tcPr>
            <w:tcW w:type="dxa" w:w="1608"/>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0.866</w:t>
            </w:r>
          </w:p>
        </w:tc>
        <w:tc>
          <w:tcPr>
            <w:tcW w:type="dxa" w:w="1608"/>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0.488</w:t>
            </w:r>
          </w:p>
        </w:tc>
      </w:tr>
      <w:tr>
        <w:trPr>
          <w:cantSplit/>
        </w:trPr>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A2</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Full strict vs source/class/window</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0.875</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0.746</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0.917</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0.595</w:t>
            </w:r>
          </w:p>
        </w:tc>
      </w:tr>
      <w:tr>
        <w:trPr>
          <w:cantSplit/>
        </w:trPr>
        <w:tc>
          <w:tcPr>
            <w:tcW w:type="dxa" w:w="1608"/>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A2</w:t>
            </w:r>
          </w:p>
        </w:tc>
        <w:tc>
          <w:tcPr>
            <w:tcW w:type="dxa" w:w="1608"/>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Full strict vs collapsed semantics</w:t>
            </w:r>
          </w:p>
        </w:tc>
        <w:tc>
          <w:tcPr>
            <w:tcW w:type="dxa" w:w="1608"/>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0.875</w:t>
            </w:r>
          </w:p>
        </w:tc>
        <w:tc>
          <w:tcPr>
            <w:tcW w:type="dxa" w:w="1608"/>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0.746</w:t>
            </w:r>
          </w:p>
        </w:tc>
        <w:tc>
          <w:tcPr>
            <w:tcW w:type="dxa" w:w="1608"/>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0.917</w:t>
            </w:r>
          </w:p>
        </w:tc>
        <w:tc>
          <w:tcPr>
            <w:tcW w:type="dxa" w:w="1608"/>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0.595</w:t>
            </w:r>
          </w:p>
        </w:tc>
      </w:tr>
      <w:tr>
        <w:trPr>
          <w:cantSplit/>
        </w:trPr>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A2</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Original order vs hospital-overlap order</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0.951</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0.903</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0.967</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0.823</w:t>
            </w:r>
          </w:p>
        </w:tc>
      </w:tr>
    </w:tbl>
    <w:p>
      <w:pPr>
        <w:spacing w:after="0"/>
      </w:pPr>
    </w:p>
    <w:p>
      <w:pPr>
        <w:pStyle w:val="Heading2"/>
        <w:keepNext/>
      </w:pPr>
      <w:r>
        <w:t>Table S7. Construct-required route availability in the A1 cohort</w:t>
      </w:r>
    </w:p>
    <w:tbl>
      <w:tblPr>
        <w:tblStyle w:val="TableGrid"/>
        <w:tblW w:type="auto" w:w="0"/>
        <w:jc w:val="center"/>
        <w:tblLayout w:type="autofit"/>
        <w:tblLook w:firstColumn="1" w:firstRow="1" w:lastColumn="0" w:lastRow="0" w:noHBand="0" w:noVBand="1" w:val="04A0"/>
      </w:tblPr>
      <w:tblGrid>
        <w:gridCol w:w="1930"/>
        <w:gridCol w:w="1930"/>
        <w:gridCol w:w="1930"/>
        <w:gridCol w:w="1930"/>
        <w:gridCol w:w="1930"/>
      </w:tblGrid>
      <w:tr>
        <w:trPr>
          <w:cantSplit/>
          <w:tblHeader w:val="true"/>
        </w:trPr>
        <w:tc>
          <w:tcPr>
            <w:tcW w:type="dxa" w:w="1930"/>
            <w:vAlign w:val="center"/>
            <w:tcMar>
              <w:top w:w="70" w:type="dxa"/>
              <w:start w:w="80" w:type="dxa"/>
              <w:bottom w:w="70" w:type="dxa"/>
              <w:end w:w="80" w:type="dxa"/>
            </w:tcMar>
            <w:shd w:fill="17324D"/>
          </w:tcPr>
          <w:p>
            <w:pPr>
              <w:spacing w:after="0" w:line="240" w:lineRule="auto"/>
              <w:keepNext/>
            </w:pPr>
            <w:r>
              <w:rPr>
                <w:rFonts w:ascii="Calibri" w:hAnsi="Calibri"/>
                <w:b/>
                <w:color w:val="FFFFFF"/>
                <w:sz w:val="16"/>
              </w:rPr>
            </w:r>
            <w:r>
              <w:rPr>
                <w:rFonts w:ascii="Calibri" w:hAnsi="Calibri"/>
                <w:b/>
                <w:color w:val="FFFFFF"/>
                <w:sz w:val="16"/>
              </w:rPr>
              <w:t>Source layer</w:t>
            </w:r>
          </w:p>
        </w:tc>
        <w:tc>
          <w:tcPr>
            <w:tcW w:type="dxa" w:w="1930"/>
            <w:vAlign w:val="center"/>
            <w:tcMar>
              <w:top w:w="70" w:type="dxa"/>
              <w:start w:w="80" w:type="dxa"/>
              <w:bottom w:w="70" w:type="dxa"/>
              <w:end w:w="80" w:type="dxa"/>
            </w:tcMar>
            <w:shd w:fill="17324D"/>
          </w:tcPr>
          <w:p>
            <w:pPr>
              <w:spacing w:after="0" w:line="240" w:lineRule="auto"/>
              <w:keepNext/>
            </w:pPr>
            <w:r>
              <w:rPr>
                <w:rFonts w:ascii="Calibri" w:hAnsi="Calibri"/>
                <w:b/>
                <w:color w:val="FFFFFF"/>
                <w:sz w:val="16"/>
              </w:rPr>
            </w:r>
            <w:r>
              <w:rPr>
                <w:rFonts w:ascii="Calibri" w:hAnsi="Calibri"/>
                <w:b/>
                <w:color w:val="FFFFFF"/>
                <w:sz w:val="16"/>
              </w:rPr>
              <w:t>Records</w:t>
            </w:r>
          </w:p>
        </w:tc>
        <w:tc>
          <w:tcPr>
            <w:tcW w:type="dxa" w:w="1930"/>
            <w:vAlign w:val="center"/>
            <w:tcMar>
              <w:top w:w="70" w:type="dxa"/>
              <w:start w:w="80" w:type="dxa"/>
              <w:bottom w:w="70" w:type="dxa"/>
              <w:end w:w="80" w:type="dxa"/>
            </w:tcMar>
            <w:shd w:fill="17324D"/>
          </w:tcPr>
          <w:p>
            <w:pPr>
              <w:spacing w:after="0" w:line="240" w:lineRule="auto"/>
              <w:keepNext/>
            </w:pPr>
            <w:r>
              <w:rPr>
                <w:rFonts w:ascii="Calibri" w:hAnsi="Calibri"/>
                <w:b/>
                <w:color w:val="FFFFFF"/>
                <w:sz w:val="16"/>
              </w:rPr>
            </w:r>
            <w:r>
              <w:rPr>
                <w:rFonts w:ascii="Calibri" w:hAnsi="Calibri"/>
                <w:b/>
                <w:color w:val="FFFFFF"/>
                <w:sz w:val="16"/>
              </w:rPr>
              <w:t>Route available</w:t>
            </w:r>
          </w:p>
        </w:tc>
        <w:tc>
          <w:tcPr>
            <w:tcW w:type="dxa" w:w="1930"/>
            <w:vAlign w:val="center"/>
            <w:tcMar>
              <w:top w:w="70" w:type="dxa"/>
              <w:start w:w="80" w:type="dxa"/>
              <w:bottom w:w="70" w:type="dxa"/>
              <w:end w:w="80" w:type="dxa"/>
            </w:tcMar>
            <w:shd w:fill="17324D"/>
          </w:tcPr>
          <w:p>
            <w:pPr>
              <w:spacing w:after="0" w:line="240" w:lineRule="auto"/>
              <w:keepNext/>
            </w:pPr>
            <w:r>
              <w:rPr>
                <w:rFonts w:ascii="Calibri" w:hAnsi="Calibri"/>
                <w:b/>
                <w:color w:val="FFFFFF"/>
                <w:sz w:val="16"/>
              </w:rPr>
            </w:r>
            <w:r>
              <w:rPr>
                <w:rFonts w:ascii="Calibri" w:hAnsi="Calibri"/>
                <w:b/>
                <w:color w:val="FFFFFF"/>
                <w:sz w:val="16"/>
              </w:rPr>
              <w:t>Subcutaneous-compatible</w:t>
            </w:r>
          </w:p>
        </w:tc>
        <w:tc>
          <w:tcPr>
            <w:tcW w:type="dxa" w:w="1930"/>
            <w:vAlign w:val="center"/>
            <w:tcMar>
              <w:top w:w="70" w:type="dxa"/>
              <w:start w:w="80" w:type="dxa"/>
              <w:bottom w:w="70" w:type="dxa"/>
              <w:end w:w="80" w:type="dxa"/>
            </w:tcMar>
            <w:shd w:fill="17324D"/>
          </w:tcPr>
          <w:p>
            <w:pPr>
              <w:spacing w:after="0" w:line="240" w:lineRule="auto"/>
              <w:keepNext/>
            </w:pPr>
            <w:r>
              <w:rPr>
                <w:rFonts w:ascii="Calibri" w:hAnsi="Calibri"/>
                <w:b/>
                <w:color w:val="FFFFFF"/>
                <w:sz w:val="16"/>
              </w:rPr>
            </w:r>
            <w:r>
              <w:rPr>
                <w:rFonts w:ascii="Calibri" w:hAnsi="Calibri"/>
                <w:b/>
                <w:color w:val="FFFFFF"/>
                <w:sz w:val="16"/>
              </w:rPr>
              <w:t>Interpretation</w:t>
            </w:r>
          </w:p>
        </w:tc>
      </w:tr>
      <w:tr>
        <w:trPr>
          <w:cantSplit/>
        </w:trPr>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Eligible order unit within A1 cohort</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9,940</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9,940 (100%)</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9,940 (100%)</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Prophylactic route measurable</w:t>
            </w:r>
          </w:p>
        </w:tc>
      </w:tr>
      <w:tr>
        <w:trPr>
          <w:cantSplit/>
        </w:trPr>
        <w:tc>
          <w:tcPr>
            <w:tcW w:type="dxa" w:w="1930"/>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Strict VTE eMAR administration</w:t>
            </w:r>
          </w:p>
        </w:tc>
        <w:tc>
          <w:tcPr>
            <w:tcW w:type="dxa" w:w="1930"/>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87,569</w:t>
            </w:r>
          </w:p>
        </w:tc>
        <w:tc>
          <w:tcPr>
            <w:tcW w:type="dxa" w:w="1930"/>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0 (0%)</w:t>
            </w:r>
          </w:p>
        </w:tc>
        <w:tc>
          <w:tcPr>
            <w:tcW w:type="dxa" w:w="1930"/>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0 (0%)</w:t>
            </w:r>
          </w:p>
        </w:tc>
        <w:tc>
          <w:tcPr>
            <w:tcW w:type="dxa" w:w="1930"/>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Route-required construct unmeasurable</w:t>
            </w:r>
          </w:p>
        </w:tc>
      </w:tr>
    </w:tbl>
    <w:p>
      <w:pPr>
        <w:spacing w:after="0"/>
      </w:pPr>
    </w:p>
    <w:p>
      <w:pPr>
        <w:pStyle w:val="Heading2"/>
        <w:keepNext/>
      </w:pPr>
      <w:r>
        <w:t>Table S8. Matched native/FHIR functional transport</w:t>
      </w:r>
    </w:p>
    <w:tbl>
      <w:tblPr>
        <w:tblStyle w:val="TableGrid"/>
        <w:tblW w:type="auto" w:w="0"/>
        <w:jc w:val="center"/>
        <w:tblLayout w:type="autofit"/>
        <w:tblLook w:firstColumn="1" w:firstRow="1" w:lastColumn="0" w:lastRow="0" w:noHBand="0" w:noVBand="1" w:val="04A0"/>
      </w:tblPr>
      <w:tblGrid>
        <w:gridCol w:w="1930"/>
        <w:gridCol w:w="1930"/>
        <w:gridCol w:w="1930"/>
        <w:gridCol w:w="1930"/>
        <w:gridCol w:w="1930"/>
      </w:tblGrid>
      <w:tr>
        <w:trPr>
          <w:cantSplit/>
          <w:tblHeader w:val="true"/>
        </w:trPr>
        <w:tc>
          <w:tcPr>
            <w:tcW w:type="dxa" w:w="1930"/>
            <w:vAlign w:val="center"/>
            <w:tcMar>
              <w:top w:w="70" w:type="dxa"/>
              <w:start w:w="80" w:type="dxa"/>
              <w:bottom w:w="70" w:type="dxa"/>
              <w:end w:w="80" w:type="dxa"/>
            </w:tcMar>
            <w:shd w:fill="17324D"/>
          </w:tcPr>
          <w:p>
            <w:pPr>
              <w:spacing w:after="0" w:line="240" w:lineRule="auto"/>
              <w:keepNext/>
            </w:pPr>
            <w:r>
              <w:rPr>
                <w:rFonts w:ascii="Calibri" w:hAnsi="Calibri"/>
                <w:b/>
                <w:color w:val="FFFFFF"/>
                <w:sz w:val="16"/>
              </w:rPr>
            </w:r>
            <w:r>
              <w:rPr>
                <w:rFonts w:ascii="Calibri" w:hAnsi="Calibri"/>
                <w:b/>
                <w:color w:val="FFFFFF"/>
                <w:sz w:val="16"/>
              </w:rPr>
              <w:t>Dimension</w:t>
            </w:r>
          </w:p>
        </w:tc>
        <w:tc>
          <w:tcPr>
            <w:tcW w:type="dxa" w:w="1930"/>
            <w:vAlign w:val="center"/>
            <w:tcMar>
              <w:top w:w="70" w:type="dxa"/>
              <w:start w:w="80" w:type="dxa"/>
              <w:bottom w:w="70" w:type="dxa"/>
              <w:end w:w="80" w:type="dxa"/>
            </w:tcMar>
            <w:shd w:fill="17324D"/>
          </w:tcPr>
          <w:p>
            <w:pPr>
              <w:spacing w:after="0" w:line="240" w:lineRule="auto"/>
              <w:keepNext/>
            </w:pPr>
            <w:r>
              <w:rPr>
                <w:rFonts w:ascii="Calibri" w:hAnsi="Calibri"/>
                <w:b/>
                <w:color w:val="FFFFFF"/>
                <w:sz w:val="16"/>
              </w:rPr>
            </w:r>
            <w:r>
              <w:rPr>
                <w:rFonts w:ascii="Calibri" w:hAnsi="Calibri"/>
                <w:b/>
                <w:color w:val="FFFFFF"/>
                <w:sz w:val="16"/>
              </w:rPr>
              <w:t>Native count</w:t>
            </w:r>
          </w:p>
        </w:tc>
        <w:tc>
          <w:tcPr>
            <w:tcW w:type="dxa" w:w="1930"/>
            <w:vAlign w:val="center"/>
            <w:tcMar>
              <w:top w:w="70" w:type="dxa"/>
              <w:start w:w="80" w:type="dxa"/>
              <w:bottom w:w="70" w:type="dxa"/>
              <w:end w:w="80" w:type="dxa"/>
            </w:tcMar>
            <w:shd w:fill="17324D"/>
          </w:tcPr>
          <w:p>
            <w:pPr>
              <w:spacing w:after="0" w:line="240" w:lineRule="auto"/>
              <w:keepNext/>
            </w:pPr>
            <w:r>
              <w:rPr>
                <w:rFonts w:ascii="Calibri" w:hAnsi="Calibri"/>
                <w:b/>
                <w:color w:val="FFFFFF"/>
                <w:sz w:val="16"/>
              </w:rPr>
            </w:r>
            <w:r>
              <w:rPr>
                <w:rFonts w:ascii="Calibri" w:hAnsi="Calibri"/>
                <w:b/>
                <w:color w:val="FFFFFF"/>
                <w:sz w:val="16"/>
              </w:rPr>
              <w:t>FHIR count</w:t>
            </w:r>
          </w:p>
        </w:tc>
        <w:tc>
          <w:tcPr>
            <w:tcW w:type="dxa" w:w="1930"/>
            <w:vAlign w:val="center"/>
            <w:tcMar>
              <w:top w:w="70" w:type="dxa"/>
              <w:start w:w="80" w:type="dxa"/>
              <w:bottom w:w="70" w:type="dxa"/>
              <w:end w:w="80" w:type="dxa"/>
            </w:tcMar>
            <w:shd w:fill="17324D"/>
          </w:tcPr>
          <w:p>
            <w:pPr>
              <w:spacing w:after="0" w:line="240" w:lineRule="auto"/>
              <w:keepNext/>
            </w:pPr>
            <w:r>
              <w:rPr>
                <w:rFonts w:ascii="Calibri" w:hAnsi="Calibri"/>
                <w:b/>
                <w:color w:val="FFFFFF"/>
                <w:sz w:val="16"/>
              </w:rPr>
            </w:r>
            <w:r>
              <w:rPr>
                <w:rFonts w:ascii="Calibri" w:hAnsi="Calibri"/>
                <w:b/>
                <w:color w:val="FFFFFF"/>
                <w:sz w:val="16"/>
              </w:rPr>
              <w:t>Paired/exact result</w:t>
            </w:r>
          </w:p>
        </w:tc>
        <w:tc>
          <w:tcPr>
            <w:tcW w:type="dxa" w:w="1930"/>
            <w:vAlign w:val="center"/>
            <w:tcMar>
              <w:top w:w="70" w:type="dxa"/>
              <w:start w:w="80" w:type="dxa"/>
              <w:bottom w:w="70" w:type="dxa"/>
              <w:end w:w="80" w:type="dxa"/>
            </w:tcMar>
            <w:shd w:fill="17324D"/>
          </w:tcPr>
          <w:p>
            <w:pPr>
              <w:spacing w:after="0" w:line="240" w:lineRule="auto"/>
              <w:keepNext/>
            </w:pPr>
            <w:r>
              <w:rPr>
                <w:rFonts w:ascii="Calibri" w:hAnsi="Calibri"/>
                <w:b/>
                <w:color w:val="FFFFFF"/>
                <w:sz w:val="16"/>
              </w:rPr>
            </w:r>
            <w:r>
              <w:rPr>
                <w:rFonts w:ascii="Calibri" w:hAnsi="Calibri"/>
                <w:b/>
                <w:color w:val="FFFFFF"/>
                <w:sz w:val="16"/>
              </w:rPr>
              <w:t>Classification</w:t>
            </w:r>
          </w:p>
        </w:tc>
      </w:tr>
      <w:tr>
        <w:trPr>
          <w:cantSplit/>
        </w:trPr>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 xml:space="preserve">Dispense </w:t>
            </w:r>
            <w:r>
              <w:rPr>
                <w:rFonts w:ascii="Calibri" w:hAnsi="Calibri"/>
                <w:color w:val="1E6F74"/>
                <w:sz w:val="16"/>
              </w:rPr>
              <w:t>pharmacy_id × class</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3,870</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3,870</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3,870/3,870 exact</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Exact transport</w:t>
            </w:r>
          </w:p>
        </w:tc>
      </w:tr>
      <w:tr>
        <w:trPr>
          <w:cantSplit/>
        </w:trPr>
        <w:tc>
          <w:tcPr>
            <w:tcW w:type="dxa" w:w="1930"/>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Frozen-class request units</w:t>
            </w:r>
          </w:p>
        </w:tc>
        <w:tc>
          <w:tcPr>
            <w:tcW w:type="dxa" w:w="1930"/>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3,903</w:t>
            </w:r>
          </w:p>
        </w:tc>
        <w:tc>
          <w:tcPr>
            <w:tcW w:type="dxa" w:w="1930"/>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2,726</w:t>
            </w:r>
          </w:p>
        </w:tc>
        <w:tc>
          <w:tcPr>
            <w:tcW w:type="dxa" w:w="1930"/>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Not forced to parity</w:t>
            </w:r>
          </w:p>
        </w:tc>
        <w:tc>
          <w:tcPr>
            <w:tcW w:type="dxa" w:w="1930"/>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Partial transport</w:t>
            </w:r>
          </w:p>
        </w:tc>
      </w:tr>
      <w:tr>
        <w:trPr>
          <w:cantSplit/>
        </w:trPr>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Administration strict positives</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5,696</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 xml:space="preserve">5,740 by </w:t>
            </w:r>
            <w:r>
              <w:rPr>
                <w:rFonts w:ascii="Calibri" w:hAnsi="Calibri"/>
                <w:color w:val="1E6F74"/>
                <w:sz w:val="16"/>
              </w:rPr>
              <w:t>dosage.method</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Similar semantic count</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Semantic relocation</w:t>
            </w:r>
          </w:p>
        </w:tc>
      </w:tr>
      <w:tr>
        <w:trPr>
          <w:cantSplit/>
        </w:trPr>
        <w:tc>
          <w:tcPr>
            <w:tcW w:type="dxa" w:w="1930"/>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Administration composite identity</w:t>
            </w:r>
          </w:p>
        </w:tc>
        <w:tc>
          <w:tcPr>
            <w:tcW w:type="dxa" w:w="1930"/>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6,253 native-linkable</w:t>
            </w:r>
          </w:p>
        </w:tc>
        <w:tc>
          <w:tcPr>
            <w:tcW w:type="dxa" w:w="1930"/>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6,697 mapped FHIR</w:t>
            </w:r>
          </w:p>
        </w:tc>
        <w:tc>
          <w:tcPr>
            <w:tcW w:type="dxa" w:w="1930"/>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5,220 paired (83.5%)</w:t>
            </w:r>
          </w:p>
        </w:tc>
        <w:tc>
          <w:tcPr>
            <w:tcW w:type="dxa" w:w="1930"/>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Composite concordance</w:t>
            </w:r>
          </w:p>
        </w:tc>
      </w:tr>
      <w:tr>
        <w:trPr>
          <w:cantSplit/>
        </w:trPr>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Request clock</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2,249 deterministic pairs</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2,249</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color w:val="1E6F74"/>
                <w:sz w:val="16"/>
              </w:rPr>
              <w:t>authoredOn</w:t>
            </w:r>
            <w:r>
              <w:rPr>
                <w:rFonts w:ascii="Calibri" w:hAnsi="Calibri"/>
                <w:sz w:val="16"/>
              </w:rPr>
              <w:t>=</w:t>
            </w:r>
            <w:r>
              <w:rPr>
                <w:rFonts w:ascii="Calibri" w:hAnsi="Calibri"/>
                <w:color w:val="1E6F74"/>
                <w:sz w:val="16"/>
              </w:rPr>
              <w:t>pharmacy.entertime</w:t>
            </w:r>
            <w:r>
              <w:rPr>
                <w:rFonts w:ascii="Calibri" w:hAnsi="Calibri"/>
                <w:sz w:val="16"/>
              </w:rPr>
              <w:t xml:space="preserve"> in 2,249/2,249</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Exact workflow-clock transport</w:t>
            </w:r>
          </w:p>
        </w:tc>
      </w:tr>
      <w:tr>
        <w:trPr>
          <w:cantSplit/>
        </w:trPr>
        <w:tc>
          <w:tcPr>
            <w:tcW w:type="dxa" w:w="1930"/>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First administration time</w:t>
            </w:r>
          </w:p>
        </w:tc>
        <w:tc>
          <w:tcPr>
            <w:tcW w:type="dxa" w:w="1930"/>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1,353 linked units</w:t>
            </w:r>
          </w:p>
        </w:tc>
        <w:tc>
          <w:tcPr>
            <w:tcW w:type="dxa" w:w="1930"/>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w:t>
            </w:r>
          </w:p>
        </w:tc>
        <w:tc>
          <w:tcPr>
            <w:tcW w:type="dxa" w:w="1930"/>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1,347/1,353 exact (99.6%)</w:t>
            </w:r>
          </w:p>
        </w:tc>
        <w:tc>
          <w:tcPr>
            <w:tcW w:type="dxa" w:w="1930"/>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Near-exact transport</w:t>
            </w:r>
          </w:p>
        </w:tc>
      </w:tr>
      <w:tr>
        <w:trPr>
          <w:cantSplit/>
        </w:trPr>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 xml:space="preserve">Native </w:t>
            </w:r>
            <w:r>
              <w:rPr>
                <w:rFonts w:ascii="Calibri" w:hAnsi="Calibri"/>
                <w:color w:val="1E6F74"/>
                <w:sz w:val="16"/>
              </w:rPr>
              <w:t>emar_id</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Available</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Omitted</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Not evaluable</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Native identity unavailable</w:t>
            </w:r>
          </w:p>
        </w:tc>
      </w:tr>
    </w:tbl>
    <w:p>
      <w:pPr>
        <w:spacing w:after="0"/>
      </w:pPr>
    </w:p>
    <w:p>
      <w:pPr>
        <w:pStyle w:val="Heading2"/>
        <w:keepNext/>
      </w:pPr>
      <w:r>
        <w:t>Table S9. OMOP capability and semantic-loss evaluation</w:t>
      </w:r>
    </w:p>
    <w:tbl>
      <w:tblPr>
        <w:tblStyle w:val="TableGrid"/>
        <w:tblW w:type="auto" w:w="0"/>
        <w:jc w:val="center"/>
        <w:tblLayout w:type="autofit"/>
        <w:tblLook w:firstColumn="1" w:firstRow="1" w:lastColumn="0" w:lastRow="0" w:noHBand="0" w:noVBand="1" w:val="04A0"/>
      </w:tblPr>
      <w:tblGrid>
        <w:gridCol w:w="1608"/>
        <w:gridCol w:w="1608"/>
        <w:gridCol w:w="1608"/>
        <w:gridCol w:w="1608"/>
        <w:gridCol w:w="1608"/>
        <w:gridCol w:w="1608"/>
      </w:tblGrid>
      <w:tr>
        <w:trPr>
          <w:cantSplit/>
          <w:tblHeader w:val="true"/>
        </w:trPr>
        <w:tc>
          <w:tcPr>
            <w:tcW w:type="dxa" w:w="1608"/>
            <w:vAlign w:val="center"/>
            <w:tcMar>
              <w:top w:w="70" w:type="dxa"/>
              <w:start w:w="80" w:type="dxa"/>
              <w:bottom w:w="70" w:type="dxa"/>
              <w:end w:w="80" w:type="dxa"/>
            </w:tcMar>
            <w:shd w:fill="17324D"/>
          </w:tcPr>
          <w:p>
            <w:pPr>
              <w:spacing w:after="0" w:line="240" w:lineRule="auto"/>
              <w:keepNext/>
            </w:pPr>
            <w:r>
              <w:rPr>
                <w:rFonts w:ascii="Calibri" w:hAnsi="Calibri"/>
                <w:b/>
                <w:color w:val="FFFFFF"/>
                <w:sz w:val="16"/>
              </w:rPr>
            </w:r>
            <w:r>
              <w:rPr>
                <w:rFonts w:ascii="Calibri" w:hAnsi="Calibri"/>
                <w:b/>
                <w:color w:val="FFFFFF"/>
                <w:sz w:val="16"/>
              </w:rPr>
              <w:t>Evaluation</w:t>
            </w:r>
          </w:p>
        </w:tc>
        <w:tc>
          <w:tcPr>
            <w:tcW w:type="dxa" w:w="1608"/>
            <w:vAlign w:val="center"/>
            <w:tcMar>
              <w:top w:w="70" w:type="dxa"/>
              <w:start w:w="80" w:type="dxa"/>
              <w:bottom w:w="70" w:type="dxa"/>
              <w:end w:w="80" w:type="dxa"/>
            </w:tcMar>
            <w:shd w:fill="17324D"/>
          </w:tcPr>
          <w:p>
            <w:pPr>
              <w:spacing w:after="0" w:line="240" w:lineRule="auto"/>
              <w:keepNext/>
            </w:pPr>
            <w:r>
              <w:rPr>
                <w:rFonts w:ascii="Calibri" w:hAnsi="Calibri"/>
                <w:b/>
                <w:color w:val="FFFFFF"/>
                <w:sz w:val="16"/>
              </w:rPr>
            </w:r>
            <w:r>
              <w:rPr>
                <w:rFonts w:ascii="Calibri" w:hAnsi="Calibri"/>
                <w:b/>
                <w:color w:val="FFFFFF"/>
                <w:sz w:val="16"/>
              </w:rPr>
              <w:t>Eligible units</w:t>
            </w:r>
          </w:p>
        </w:tc>
        <w:tc>
          <w:tcPr>
            <w:tcW w:type="dxa" w:w="1608"/>
            <w:vAlign w:val="center"/>
            <w:tcMar>
              <w:top w:w="70" w:type="dxa"/>
              <w:start w:w="80" w:type="dxa"/>
              <w:bottom w:w="70" w:type="dxa"/>
              <w:end w:w="80" w:type="dxa"/>
            </w:tcMar>
            <w:shd w:fill="17324D"/>
          </w:tcPr>
          <w:p>
            <w:pPr>
              <w:spacing w:after="0" w:line="240" w:lineRule="auto"/>
              <w:keepNext/>
            </w:pPr>
            <w:r>
              <w:rPr>
                <w:rFonts w:ascii="Calibri" w:hAnsi="Calibri"/>
                <w:b/>
                <w:color w:val="FFFFFF"/>
                <w:sz w:val="16"/>
              </w:rPr>
            </w:r>
            <w:r>
              <w:rPr>
                <w:rFonts w:ascii="Calibri" w:hAnsi="Calibri"/>
                <w:b/>
                <w:color w:val="FFFFFF"/>
                <w:sz w:val="16"/>
              </w:rPr>
              <w:t>Exposed</w:t>
            </w:r>
          </w:p>
        </w:tc>
        <w:tc>
          <w:tcPr>
            <w:tcW w:type="dxa" w:w="1608"/>
            <w:vAlign w:val="center"/>
            <w:tcMar>
              <w:top w:w="70" w:type="dxa"/>
              <w:start w:w="80" w:type="dxa"/>
              <w:bottom w:w="70" w:type="dxa"/>
              <w:end w:w="80" w:type="dxa"/>
            </w:tcMar>
            <w:shd w:fill="17324D"/>
          </w:tcPr>
          <w:p>
            <w:pPr>
              <w:spacing w:after="0" w:line="240" w:lineRule="auto"/>
              <w:keepNext/>
            </w:pPr>
            <w:r>
              <w:rPr>
                <w:rFonts w:ascii="Calibri" w:hAnsi="Calibri"/>
                <w:b/>
                <w:color w:val="FFFFFF"/>
                <w:sz w:val="16"/>
              </w:rPr>
            </w:r>
            <w:r>
              <w:rPr>
                <w:rFonts w:ascii="Calibri" w:hAnsi="Calibri"/>
                <w:b/>
                <w:color w:val="FFFFFF"/>
                <w:sz w:val="16"/>
              </w:rPr>
              <w:t>Unexposed</w:t>
            </w:r>
          </w:p>
        </w:tc>
        <w:tc>
          <w:tcPr>
            <w:tcW w:type="dxa" w:w="1608"/>
            <w:vAlign w:val="center"/>
            <w:tcMar>
              <w:top w:w="70" w:type="dxa"/>
              <w:start w:w="80" w:type="dxa"/>
              <w:bottom w:w="70" w:type="dxa"/>
              <w:end w:w="80" w:type="dxa"/>
            </w:tcMar>
            <w:shd w:fill="17324D"/>
          </w:tcPr>
          <w:p>
            <w:pPr>
              <w:spacing w:after="0" w:line="240" w:lineRule="auto"/>
              <w:keepNext/>
            </w:pPr>
            <w:r>
              <w:rPr>
                <w:rFonts w:ascii="Calibri" w:hAnsi="Calibri"/>
                <w:b/>
                <w:color w:val="FFFFFF"/>
                <w:sz w:val="16"/>
              </w:rPr>
            </w:r>
            <w:r>
              <w:rPr>
                <w:rFonts w:ascii="Calibri" w:hAnsi="Calibri"/>
                <w:b/>
                <w:color w:val="FFFFFF"/>
                <w:sz w:val="16"/>
              </w:rPr>
              <w:t>Unresolved</w:t>
            </w:r>
          </w:p>
        </w:tc>
        <w:tc>
          <w:tcPr>
            <w:tcW w:type="dxa" w:w="1608"/>
            <w:vAlign w:val="center"/>
            <w:tcMar>
              <w:top w:w="70" w:type="dxa"/>
              <w:start w:w="80" w:type="dxa"/>
              <w:bottom w:w="70" w:type="dxa"/>
              <w:end w:w="80" w:type="dxa"/>
            </w:tcMar>
            <w:shd w:fill="17324D"/>
          </w:tcPr>
          <w:p>
            <w:pPr>
              <w:spacing w:after="0" w:line="240" w:lineRule="auto"/>
              <w:keepNext/>
            </w:pPr>
            <w:r>
              <w:rPr>
                <w:rFonts w:ascii="Calibri" w:hAnsi="Calibri"/>
                <w:b/>
                <w:color w:val="FFFFFF"/>
                <w:sz w:val="16"/>
              </w:rPr>
            </w:r>
            <w:r>
              <w:rPr>
                <w:rFonts w:ascii="Calibri" w:hAnsi="Calibri"/>
                <w:b/>
                <w:color w:val="FFFFFF"/>
                <w:sz w:val="16"/>
              </w:rPr>
              <w:t>Unmeasurable</w:t>
            </w:r>
          </w:p>
        </w:tc>
      </w:tr>
      <w:tr>
        <w:trPr>
          <w:cantSplit/>
        </w:trPr>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Official demo, record existence</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37</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37</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w:t>
            </w:r>
          </w:p>
        </w:tc>
      </w:tr>
      <w:tr>
        <w:trPr>
          <w:cantSplit/>
        </w:trPr>
        <w:tc>
          <w:tcPr>
            <w:tcW w:type="dxa" w:w="1608"/>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Official demo, strict administration</w:t>
            </w:r>
          </w:p>
        </w:tc>
        <w:tc>
          <w:tcPr>
            <w:tcW w:type="dxa" w:w="1608"/>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37</w:t>
            </w:r>
          </w:p>
        </w:tc>
        <w:tc>
          <w:tcPr>
            <w:tcW w:type="dxa" w:w="1608"/>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0</w:t>
            </w:r>
          </w:p>
        </w:tc>
        <w:tc>
          <w:tcPr>
            <w:tcW w:type="dxa" w:w="1608"/>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0</w:t>
            </w:r>
          </w:p>
        </w:tc>
        <w:tc>
          <w:tcPr>
            <w:tcW w:type="dxa" w:w="1608"/>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0</w:t>
            </w:r>
          </w:p>
        </w:tc>
        <w:tc>
          <w:tcPr>
            <w:tcW w:type="dxa" w:w="1608"/>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37</w:t>
            </w:r>
          </w:p>
        </w:tc>
      </w:tr>
      <w:tr>
        <w:trPr>
          <w:cantSplit/>
        </w:trPr>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Synthetic fixture, ATLAS-style existence</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4</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4</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w:t>
            </w:r>
          </w:p>
        </w:tc>
      </w:tr>
      <w:tr>
        <w:trPr>
          <w:cantSplit/>
        </w:trPr>
        <w:tc>
          <w:tcPr>
            <w:tcW w:type="dxa" w:w="1608"/>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Synthetic fixture, medprov extension</w:t>
            </w:r>
          </w:p>
        </w:tc>
        <w:tc>
          <w:tcPr>
            <w:tcW w:type="dxa" w:w="1608"/>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4</w:t>
            </w:r>
          </w:p>
        </w:tc>
        <w:tc>
          <w:tcPr>
            <w:tcW w:type="dxa" w:w="1608"/>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1</w:t>
            </w:r>
          </w:p>
        </w:tc>
        <w:tc>
          <w:tcPr>
            <w:tcW w:type="dxa" w:w="1608"/>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1</w:t>
            </w:r>
          </w:p>
        </w:tc>
        <w:tc>
          <w:tcPr>
            <w:tcW w:type="dxa" w:w="1608"/>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1</w:t>
            </w:r>
          </w:p>
        </w:tc>
        <w:tc>
          <w:tcPr>
            <w:tcW w:type="dxa" w:w="1608"/>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1</w:t>
            </w:r>
          </w:p>
        </w:tc>
      </w:tr>
      <w:tr>
        <w:trPr>
          <w:cantSplit/>
        </w:trPr>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Synthetic fixture, extension removed</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4</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4</w:t>
            </w:r>
          </w:p>
        </w:tc>
      </w:tr>
    </w:tbl>
    <w:p>
      <w:pPr>
        <w:spacing w:after="0"/>
      </w:pPr>
    </w:p>
    <w:p>
      <w:pPr>
        <w:pStyle w:val="Heading2"/>
        <w:keepNext/>
      </w:pPr>
      <w:r>
        <w:t>Table S10. eICU interface-semantic feasibility</w:t>
      </w:r>
    </w:p>
    <w:tbl>
      <w:tblPr>
        <w:tblStyle w:val="TableGrid"/>
        <w:tblW w:type="auto" w:w="0"/>
        <w:jc w:val="center"/>
        <w:tblLayout w:type="autofit"/>
        <w:tblLook w:firstColumn="1" w:firstRow="1" w:lastColumn="0" w:lastRow="0" w:noHBand="0" w:noVBand="1" w:val="04A0"/>
      </w:tblPr>
      <w:tblGrid>
        <w:gridCol w:w="1930"/>
        <w:gridCol w:w="1930"/>
        <w:gridCol w:w="1930"/>
        <w:gridCol w:w="1930"/>
        <w:gridCol w:w="1930"/>
      </w:tblGrid>
      <w:tr>
        <w:trPr>
          <w:cantSplit/>
          <w:tblHeader w:val="true"/>
        </w:trPr>
        <w:tc>
          <w:tcPr>
            <w:tcW w:type="dxa" w:w="1930"/>
            <w:vAlign w:val="center"/>
            <w:tcMar>
              <w:top w:w="70" w:type="dxa"/>
              <w:start w:w="80" w:type="dxa"/>
              <w:bottom w:w="70" w:type="dxa"/>
              <w:end w:w="80" w:type="dxa"/>
            </w:tcMar>
            <w:shd w:fill="17324D"/>
          </w:tcPr>
          <w:p>
            <w:pPr>
              <w:spacing w:after="0" w:line="240" w:lineRule="auto"/>
              <w:keepNext/>
            </w:pPr>
            <w:r>
              <w:rPr>
                <w:rFonts w:ascii="Calibri" w:hAnsi="Calibri"/>
                <w:b/>
                <w:color w:val="FFFFFF"/>
                <w:sz w:val="16"/>
              </w:rPr>
            </w:r>
            <w:r>
              <w:rPr>
                <w:rFonts w:ascii="Calibri" w:hAnsi="Calibri"/>
                <w:b/>
                <w:color w:val="FFFFFF"/>
                <w:sz w:val="16"/>
              </w:rPr>
              <w:t>Class</w:t>
            </w:r>
          </w:p>
        </w:tc>
        <w:tc>
          <w:tcPr>
            <w:tcW w:type="dxa" w:w="1930"/>
            <w:vAlign w:val="center"/>
            <w:tcMar>
              <w:top w:w="70" w:type="dxa"/>
              <w:start w:w="80" w:type="dxa"/>
              <w:bottom w:w="70" w:type="dxa"/>
              <w:end w:w="80" w:type="dxa"/>
            </w:tcMar>
            <w:shd w:fill="17324D"/>
          </w:tcPr>
          <w:p>
            <w:pPr>
              <w:spacing w:after="0" w:line="240" w:lineRule="auto"/>
              <w:keepNext/>
            </w:pPr>
            <w:r>
              <w:rPr>
                <w:rFonts w:ascii="Calibri" w:hAnsi="Calibri"/>
                <w:b/>
                <w:color w:val="FFFFFF"/>
                <w:sz w:val="16"/>
              </w:rPr>
            </w:r>
            <w:r>
              <w:rPr>
                <w:rFonts w:ascii="Calibri" w:hAnsi="Calibri"/>
                <w:b/>
                <w:color w:val="FFFFFF"/>
                <w:sz w:val="16"/>
              </w:rPr>
              <w:t>Eligible medication order units</w:t>
            </w:r>
          </w:p>
        </w:tc>
        <w:tc>
          <w:tcPr>
            <w:tcW w:type="dxa" w:w="1930"/>
            <w:vAlign w:val="center"/>
            <w:tcMar>
              <w:top w:w="70" w:type="dxa"/>
              <w:start w:w="80" w:type="dxa"/>
              <w:bottom w:w="70" w:type="dxa"/>
              <w:end w:w="80" w:type="dxa"/>
            </w:tcMar>
            <w:shd w:fill="17324D"/>
          </w:tcPr>
          <w:p>
            <w:pPr>
              <w:spacing w:after="0" w:line="240" w:lineRule="auto"/>
              <w:keepNext/>
            </w:pPr>
            <w:r>
              <w:rPr>
                <w:rFonts w:ascii="Calibri" w:hAnsi="Calibri"/>
                <w:b/>
                <w:color w:val="FFFFFF"/>
                <w:sz w:val="16"/>
              </w:rPr>
            </w:r>
            <w:r>
              <w:rPr>
                <w:rFonts w:ascii="Calibri" w:hAnsi="Calibri"/>
                <w:b/>
                <w:color w:val="FFFFFF"/>
                <w:sz w:val="16"/>
              </w:rPr>
              <w:t>Same-stay/class/window administration-like units</w:t>
            </w:r>
          </w:p>
        </w:tc>
        <w:tc>
          <w:tcPr>
            <w:tcW w:type="dxa" w:w="1930"/>
            <w:vAlign w:val="center"/>
            <w:tcMar>
              <w:top w:w="70" w:type="dxa"/>
              <w:start w:w="80" w:type="dxa"/>
              <w:bottom w:w="70" w:type="dxa"/>
              <w:end w:w="80" w:type="dxa"/>
            </w:tcMar>
            <w:shd w:fill="17324D"/>
          </w:tcPr>
          <w:p>
            <w:pPr>
              <w:spacing w:after="0" w:line="240" w:lineRule="auto"/>
              <w:keepNext/>
            </w:pPr>
            <w:r>
              <w:rPr>
                <w:rFonts w:ascii="Calibri" w:hAnsi="Calibri"/>
                <w:b/>
                <w:color w:val="FFFFFF"/>
                <w:sz w:val="16"/>
              </w:rPr>
            </w:r>
            <w:r>
              <w:rPr>
                <w:rFonts w:ascii="Calibri" w:hAnsi="Calibri"/>
                <w:b/>
                <w:color w:val="FFFFFF"/>
                <w:sz w:val="16"/>
              </w:rPr>
              <w:t>Conversion</w:t>
            </w:r>
          </w:p>
        </w:tc>
        <w:tc>
          <w:tcPr>
            <w:tcW w:type="dxa" w:w="1930"/>
            <w:vAlign w:val="center"/>
            <w:tcMar>
              <w:top w:w="70" w:type="dxa"/>
              <w:start w:w="80" w:type="dxa"/>
              <w:bottom w:w="70" w:type="dxa"/>
              <w:end w:w="80" w:type="dxa"/>
            </w:tcMar>
            <w:shd w:fill="17324D"/>
          </w:tcPr>
          <w:p>
            <w:pPr>
              <w:spacing w:after="0" w:line="240" w:lineRule="auto"/>
              <w:keepNext/>
            </w:pPr>
            <w:r>
              <w:rPr>
                <w:rFonts w:ascii="Calibri" w:hAnsi="Calibri"/>
                <w:b/>
                <w:color w:val="FFFFFF"/>
                <w:sz w:val="16"/>
              </w:rPr>
            </w:r>
            <w:r>
              <w:rPr>
                <w:rFonts w:ascii="Calibri" w:hAnsi="Calibri"/>
                <w:b/>
                <w:color w:val="FFFFFF"/>
                <w:sz w:val="16"/>
              </w:rPr>
              <w:t>Gate status</w:t>
            </w:r>
          </w:p>
        </w:tc>
      </w:tr>
      <w:tr>
        <w:trPr>
          <w:cantSplit/>
        </w:trPr>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Stress-ulcer prophylaxis</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167,806</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3,696</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2.202543%</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PASS</w:t>
            </w:r>
          </w:p>
        </w:tc>
      </w:tr>
      <w:tr>
        <w:trPr>
          <w:cantSplit/>
        </w:trPr>
        <w:tc>
          <w:tcPr>
            <w:tcW w:type="dxa" w:w="1930"/>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VTE prophylaxis</w:t>
            </w:r>
          </w:p>
        </w:tc>
        <w:tc>
          <w:tcPr>
            <w:tcW w:type="dxa" w:w="1930"/>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134,102</w:t>
            </w:r>
          </w:p>
        </w:tc>
        <w:tc>
          <w:tcPr>
            <w:tcW w:type="dxa" w:w="1930"/>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7,491</w:t>
            </w:r>
          </w:p>
        </w:tc>
        <w:tc>
          <w:tcPr>
            <w:tcW w:type="dxa" w:w="1930"/>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5.586046%</w:t>
            </w:r>
          </w:p>
        </w:tc>
        <w:tc>
          <w:tcPr>
            <w:tcW w:type="dxa" w:w="1930"/>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PASS</w:t>
            </w:r>
          </w:p>
        </w:tc>
      </w:tr>
      <w:tr>
        <w:trPr>
          <w:cantSplit/>
        </w:trPr>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Intra-abdominal antibiotics</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88,816</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224</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0.252207%</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PASS</w:t>
            </w:r>
          </w:p>
        </w:tc>
      </w:tr>
      <w:tr>
        <w:trPr>
          <w:cantSplit/>
        </w:trPr>
        <w:tc>
          <w:tcPr>
            <w:tcW w:type="dxa" w:w="1930"/>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Electrolyte replacement</w:t>
            </w:r>
          </w:p>
        </w:tc>
        <w:tc>
          <w:tcPr>
            <w:tcW w:type="dxa" w:w="1930"/>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w:t>
            </w:r>
          </w:p>
        </w:tc>
        <w:tc>
          <w:tcPr>
            <w:tcW w:type="dxa" w:w="1930"/>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w:t>
            </w:r>
          </w:p>
        </w:tc>
        <w:tc>
          <w:tcPr>
            <w:tcW w:type="dxa" w:w="1930"/>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Not reconciled</w:t>
            </w:r>
          </w:p>
        </w:tc>
        <w:tc>
          <w:tcPr>
            <w:tcW w:type="dxa" w:w="1930"/>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FAIL: identity ambiguity</w:t>
            </w:r>
          </w:p>
        </w:tc>
      </w:tr>
      <w:tr>
        <w:trPr>
          <w:cantSplit/>
        </w:trPr>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Insulin</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Not reconciled</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FAIL: identity ambiguity</w:t>
            </w:r>
          </w:p>
        </w:tc>
      </w:tr>
      <w:tr>
        <w:trPr>
          <w:cantSplit/>
        </w:trPr>
        <w:tc>
          <w:tcPr>
            <w:tcW w:type="dxa" w:w="1930"/>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Prokinetic</w:t>
            </w:r>
          </w:p>
        </w:tc>
        <w:tc>
          <w:tcPr>
            <w:tcW w:type="dxa" w:w="1930"/>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w:t>
            </w:r>
          </w:p>
        </w:tc>
        <w:tc>
          <w:tcPr>
            <w:tcW w:type="dxa" w:w="1930"/>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w:t>
            </w:r>
          </w:p>
        </w:tc>
        <w:tc>
          <w:tcPr>
            <w:tcW w:type="dxa" w:w="1930"/>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Not reconciled</w:t>
            </w:r>
          </w:p>
        </w:tc>
        <w:tc>
          <w:tcPr>
            <w:tcW w:type="dxa" w:w="1930"/>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FAIL: insufficient events/hospitals</w:t>
            </w:r>
          </w:p>
        </w:tc>
      </w:tr>
    </w:tbl>
    <w:p>
      <w:pPr>
        <w:spacing w:after="0"/>
      </w:pPr>
    </w:p>
    <w:p>
      <w:r>
        <w:rPr>
          <w:b/>
        </w:rPr>
        <w:t>Boundary:</w:t>
      </w:r>
      <w:r>
        <w:t xml:space="preserve"> These values quantify interface reconciliation under a frozen same-stay/class/window rule. They are not administration adherence, hospital quality, or external validation.</w:t>
      </w:r>
    </w:p>
    <w:p>
      <w:pPr>
        <w:pStyle w:val="Heading2"/>
        <w:keepNext/>
      </w:pPr>
      <w:r>
        <w:t>Table S11. Structured reporting validator</w:t>
      </w:r>
    </w:p>
    <w:tbl>
      <w:tblPr>
        <w:tblStyle w:val="TableGrid"/>
        <w:tblW w:type="auto" w:w="0"/>
        <w:jc w:val="center"/>
        <w:tblLayout w:type="autofit"/>
        <w:tblLook w:firstColumn="1" w:firstRow="1" w:lastColumn="0" w:lastRow="0" w:noHBand="0" w:noVBand="1" w:val="04A0"/>
      </w:tblPr>
      <w:tblGrid>
        <w:gridCol w:w="3216"/>
        <w:gridCol w:w="3216"/>
        <w:gridCol w:w="3216"/>
      </w:tblGrid>
      <w:tr>
        <w:trPr>
          <w:cantSplit/>
          <w:tblHeader w:val="true"/>
        </w:trPr>
        <w:tc>
          <w:tcPr>
            <w:tcW w:type="dxa" w:w="3216"/>
            <w:vAlign w:val="center"/>
            <w:tcMar>
              <w:top w:w="70" w:type="dxa"/>
              <w:start w:w="80" w:type="dxa"/>
              <w:bottom w:w="70" w:type="dxa"/>
              <w:end w:w="80" w:type="dxa"/>
            </w:tcMar>
            <w:shd w:fill="17324D"/>
          </w:tcPr>
          <w:p>
            <w:pPr>
              <w:spacing w:after="0" w:line="240" w:lineRule="auto"/>
              <w:keepNext/>
            </w:pPr>
            <w:r>
              <w:rPr>
                <w:rFonts w:ascii="Calibri" w:hAnsi="Calibri"/>
                <w:b/>
                <w:color w:val="FFFFFF"/>
                <w:sz w:val="16"/>
              </w:rPr>
            </w:r>
            <w:r>
              <w:rPr>
                <w:rFonts w:ascii="Calibri" w:hAnsi="Calibri"/>
                <w:b/>
                <w:color w:val="FFFFFF"/>
                <w:sz w:val="16"/>
              </w:rPr>
              <w:t>Required reporting element</w:t>
            </w:r>
          </w:p>
        </w:tc>
        <w:tc>
          <w:tcPr>
            <w:tcW w:type="dxa" w:w="3216"/>
            <w:vAlign w:val="center"/>
            <w:tcMar>
              <w:top w:w="70" w:type="dxa"/>
              <w:start w:w="80" w:type="dxa"/>
              <w:bottom w:w="70" w:type="dxa"/>
              <w:end w:w="80" w:type="dxa"/>
            </w:tcMar>
            <w:shd w:fill="17324D"/>
          </w:tcPr>
          <w:p>
            <w:pPr>
              <w:spacing w:after="0" w:line="240" w:lineRule="auto"/>
              <w:keepNext/>
            </w:pPr>
            <w:r>
              <w:rPr>
                <w:rFonts w:ascii="Calibri" w:hAnsi="Calibri"/>
                <w:b/>
                <w:color w:val="FFFFFF"/>
                <w:sz w:val="16"/>
              </w:rPr>
            </w:r>
            <w:r>
              <w:rPr>
                <w:rFonts w:ascii="Calibri" w:hAnsi="Calibri"/>
                <w:b/>
                <w:color w:val="FFFFFF"/>
                <w:sz w:val="16"/>
              </w:rPr>
              <w:t>Studies reporting element</w:t>
            </w:r>
          </w:p>
        </w:tc>
        <w:tc>
          <w:tcPr>
            <w:tcW w:type="dxa" w:w="3216"/>
            <w:vAlign w:val="center"/>
            <w:tcMar>
              <w:top w:w="70" w:type="dxa"/>
              <w:start w:w="80" w:type="dxa"/>
              <w:bottom w:w="70" w:type="dxa"/>
              <w:end w:w="80" w:type="dxa"/>
            </w:tcMar>
            <w:shd w:fill="17324D"/>
          </w:tcPr>
          <w:p>
            <w:pPr>
              <w:spacing w:after="0" w:line="240" w:lineRule="auto"/>
              <w:keepNext/>
            </w:pPr>
            <w:r>
              <w:rPr>
                <w:rFonts w:ascii="Calibri" w:hAnsi="Calibri"/>
                <w:b/>
                <w:color w:val="FFFFFF"/>
                <w:sz w:val="16"/>
              </w:rPr>
            </w:r>
            <w:r>
              <w:rPr>
                <w:rFonts w:ascii="Calibri" w:hAnsi="Calibri"/>
                <w:b/>
                <w:color w:val="FFFFFF"/>
                <w:sz w:val="16"/>
              </w:rPr>
              <w:t>Percentage</w:t>
            </w:r>
          </w:p>
        </w:tc>
      </w:tr>
      <w:tr>
        <w:trPr>
          <w:cantSplit/>
        </w:trPr>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Named native medication source</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7/40</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17.5%</w:t>
            </w:r>
          </w:p>
        </w:tc>
      </w:tr>
      <w:tr>
        <w:trPr>
          <w:cantSplit/>
        </w:trPr>
        <w:tc>
          <w:tcPr>
            <w:tcW w:type="dxa" w:w="3216"/>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Database-executable identity</w:t>
            </w:r>
          </w:p>
        </w:tc>
        <w:tc>
          <w:tcPr>
            <w:tcW w:type="dxa" w:w="3216"/>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2/40</w:t>
            </w:r>
          </w:p>
        </w:tc>
        <w:tc>
          <w:tcPr>
            <w:tcW w:type="dxa" w:w="3216"/>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5.0%</w:t>
            </w:r>
          </w:p>
        </w:tc>
      </w:tr>
      <w:tr>
        <w:trPr>
          <w:cantSplit/>
        </w:trPr>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Time origin and exposure window</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35/40</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87.5%</w:t>
            </w:r>
          </w:p>
        </w:tc>
      </w:tr>
      <w:tr>
        <w:trPr>
          <w:cantSplit/>
        </w:trPr>
        <w:tc>
          <w:tcPr>
            <w:tcW w:type="dxa" w:w="3216"/>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Native event-state semantics</w:t>
            </w:r>
          </w:p>
        </w:tc>
        <w:tc>
          <w:tcPr>
            <w:tcW w:type="dxa" w:w="3216"/>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0/40</w:t>
            </w:r>
          </w:p>
        </w:tc>
        <w:tc>
          <w:tcPr>
            <w:tcW w:type="dxa" w:w="3216"/>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0%</w:t>
            </w:r>
          </w:p>
        </w:tc>
      </w:tr>
      <w:tr>
        <w:trPr>
          <w:cantSplit/>
        </w:trPr>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Dose or route rule</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30/40</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75.0%</w:t>
            </w:r>
          </w:p>
        </w:tc>
      </w:tr>
      <w:tr>
        <w:trPr>
          <w:cantSplit/>
        </w:trPr>
        <w:tc>
          <w:tcPr>
            <w:tcW w:type="dxa" w:w="3216"/>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Complete executable five-dimensional operator</w:t>
            </w:r>
          </w:p>
        </w:tc>
        <w:tc>
          <w:tcPr>
            <w:tcW w:type="dxa" w:w="3216"/>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0/40</w:t>
            </w:r>
          </w:p>
        </w:tc>
        <w:tc>
          <w:tcPr>
            <w:tcW w:type="dxa" w:w="3216"/>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0%</w:t>
            </w:r>
          </w:p>
        </w:tc>
      </w:tr>
    </w:tbl>
    <w:p>
      <w:pPr>
        <w:spacing w:after="0"/>
      </w:pPr>
    </w:p>
    <w:p>
      <w:pPr>
        <w:pStyle w:val="Heading2"/>
        <w:keepNext/>
      </w:pPr>
      <w:r>
        <w:t>Table S12. Software and artifact validation</w:t>
      </w:r>
    </w:p>
    <w:tbl>
      <w:tblPr>
        <w:tblStyle w:val="TableGrid"/>
        <w:tblW w:type="auto" w:w="0"/>
        <w:jc w:val="center"/>
        <w:tblLayout w:type="autofit"/>
        <w:tblLook w:firstColumn="1" w:firstRow="1" w:lastColumn="0" w:lastRow="0" w:noHBand="0" w:noVBand="1" w:val="04A0"/>
      </w:tblPr>
      <w:tblGrid>
        <w:gridCol w:w="4824"/>
        <w:gridCol w:w="4824"/>
      </w:tblGrid>
      <w:tr>
        <w:trPr>
          <w:cantSplit/>
          <w:tblHeader w:val="true"/>
        </w:trPr>
        <w:tc>
          <w:tcPr>
            <w:tcW w:type="dxa" w:w="4824"/>
            <w:vAlign w:val="center"/>
            <w:tcMar>
              <w:top w:w="70" w:type="dxa"/>
              <w:start w:w="80" w:type="dxa"/>
              <w:bottom w:w="70" w:type="dxa"/>
              <w:end w:w="80" w:type="dxa"/>
            </w:tcMar>
            <w:shd w:fill="17324D"/>
          </w:tcPr>
          <w:p>
            <w:pPr>
              <w:spacing w:after="0" w:line="240" w:lineRule="auto"/>
              <w:keepNext/>
            </w:pPr>
            <w:r>
              <w:rPr>
                <w:rFonts w:ascii="Calibri" w:hAnsi="Calibri"/>
                <w:b/>
                <w:color w:val="FFFFFF"/>
                <w:sz w:val="16"/>
              </w:rPr>
            </w:r>
            <w:r>
              <w:rPr>
                <w:rFonts w:ascii="Calibri" w:hAnsi="Calibri"/>
                <w:b/>
                <w:color w:val="FFFFFF"/>
                <w:sz w:val="16"/>
              </w:rPr>
              <w:t>Validation component</w:t>
            </w:r>
          </w:p>
        </w:tc>
        <w:tc>
          <w:tcPr>
            <w:tcW w:type="dxa" w:w="4824"/>
            <w:vAlign w:val="center"/>
            <w:tcMar>
              <w:top w:w="70" w:type="dxa"/>
              <w:start w:w="80" w:type="dxa"/>
              <w:bottom w:w="70" w:type="dxa"/>
              <w:end w:w="80" w:type="dxa"/>
            </w:tcMar>
            <w:shd w:fill="17324D"/>
          </w:tcPr>
          <w:p>
            <w:pPr>
              <w:spacing w:after="0" w:line="240" w:lineRule="auto"/>
              <w:keepNext/>
            </w:pPr>
            <w:r>
              <w:rPr>
                <w:rFonts w:ascii="Calibri" w:hAnsi="Calibri"/>
                <w:b/>
                <w:color w:val="FFFFFF"/>
                <w:sz w:val="16"/>
              </w:rPr>
            </w:r>
            <w:r>
              <w:rPr>
                <w:rFonts w:ascii="Calibri" w:hAnsi="Calibri"/>
                <w:b/>
                <w:color w:val="FFFFFF"/>
                <w:sz w:val="16"/>
              </w:rPr>
              <w:t>Result</w:t>
            </w:r>
          </w:p>
        </w:tc>
      </w:tr>
      <w:tr>
        <w:trPr>
          <w:cantSplit/>
        </w:trPr>
        <w:tc>
          <w:tcPr>
            <w:tcW w:type="dxa" w:w="4824"/>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Software version</w:t>
            </w:r>
          </w:p>
        </w:tc>
        <w:tc>
          <w:tcPr>
            <w:tcW w:type="dxa" w:w="4824"/>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color w:val="1E6F74"/>
                <w:sz w:val="16"/>
              </w:rPr>
              <w:t>medprov</w:t>
            </w:r>
            <w:r>
              <w:rPr>
                <w:rFonts w:ascii="Calibri" w:hAnsi="Calibri"/>
                <w:sz w:val="16"/>
              </w:rPr>
              <w:t xml:space="preserve"> 0.1.0</w:t>
            </w:r>
          </w:p>
        </w:tc>
      </w:tr>
      <w:tr>
        <w:trPr>
          <w:cantSplit/>
        </w:trPr>
        <w:tc>
          <w:tcPr>
            <w:tcW w:type="dxa" w:w="4824"/>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Tests</w:t>
            </w:r>
          </w:p>
        </w:tc>
        <w:tc>
          <w:tcPr>
            <w:tcW w:type="dxa" w:w="4824"/>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30 passed, 0 failed</w:t>
            </w:r>
          </w:p>
        </w:tc>
      </w:tr>
      <w:tr>
        <w:trPr>
          <w:cantSplit/>
        </w:trPr>
        <w:tc>
          <w:tcPr>
            <w:tcW w:type="dxa" w:w="4824"/>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Branch-aware coverage</w:t>
            </w:r>
          </w:p>
        </w:tc>
        <w:tc>
          <w:tcPr>
            <w:tcW w:type="dxa" w:w="4824"/>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70.15%</w:t>
            </w:r>
          </w:p>
        </w:tc>
      </w:tr>
      <w:tr>
        <w:trPr>
          <w:cantSplit/>
        </w:trPr>
        <w:tc>
          <w:tcPr>
            <w:tcW w:type="dxa" w:w="4824"/>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Release checks</w:t>
            </w:r>
          </w:p>
        </w:tc>
        <w:tc>
          <w:tcPr>
            <w:tcW w:type="dxa" w:w="4824"/>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10/10 passed</w:t>
            </w:r>
          </w:p>
        </w:tc>
      </w:tr>
      <w:tr>
        <w:trPr>
          <w:cantSplit/>
        </w:trPr>
        <w:tc>
          <w:tcPr>
            <w:tcW w:type="dxa" w:w="4824"/>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Wheel build/install</w:t>
            </w:r>
          </w:p>
        </w:tc>
        <w:tc>
          <w:tcPr>
            <w:tcW w:type="dxa" w:w="4824"/>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Passed in clean virtual environment</w:t>
            </w:r>
          </w:p>
        </w:tc>
      </w:tr>
      <w:tr>
        <w:trPr>
          <w:cantSplit/>
        </w:trPr>
        <w:tc>
          <w:tcPr>
            <w:tcW w:type="dxa" w:w="4824"/>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Source distribution</w:t>
            </w:r>
          </w:p>
        </w:tc>
        <w:tc>
          <w:tcPr>
            <w:tcW w:type="dxa" w:w="4824"/>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Built successfully</w:t>
            </w:r>
          </w:p>
        </w:tc>
      </w:tr>
      <w:tr>
        <w:trPr>
          <w:cantSplit/>
        </w:trPr>
        <w:tc>
          <w:tcPr>
            <w:tcW w:type="dxa" w:w="4824"/>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Four-state deterministic demo</w:t>
            </w:r>
          </w:p>
        </w:tc>
        <w:tc>
          <w:tcPr>
            <w:tcW w:type="dxa" w:w="4824"/>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Reproduced after clean install</w:t>
            </w:r>
          </w:p>
        </w:tc>
      </w:tr>
      <w:tr>
        <w:trPr>
          <w:cantSplit/>
        </w:trPr>
        <w:tc>
          <w:tcPr>
            <w:tcW w:type="dxa" w:w="4824"/>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Cross-model package checks</w:t>
            </w:r>
          </w:p>
        </w:tc>
        <w:tc>
          <w:tcPr>
            <w:tcW w:type="dxa" w:w="4824"/>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39/39 passed</w:t>
            </w:r>
          </w:p>
        </w:tc>
      </w:tr>
      <w:tr>
        <w:trPr>
          <w:cantSplit/>
        </w:trPr>
        <w:tc>
          <w:tcPr>
            <w:tcW w:type="dxa" w:w="4824"/>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Public output privacy</w:t>
            </w:r>
          </w:p>
        </w:tc>
        <w:tc>
          <w:tcPr>
            <w:tcW w:type="dxa" w:w="4824"/>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Aggregate only; no native identifiers</w:t>
            </w:r>
          </w:p>
        </w:tc>
      </w:tr>
    </w:tbl>
    <w:p>
      <w:pPr>
        <w:spacing w:after="0"/>
      </w:pPr>
    </w:p>
    <w:p>
      <w:pPr>
        <w:pStyle w:val="Heading2"/>
        <w:keepNext/>
      </w:pPr>
      <w:r>
        <w:t>Table S13. Wheel and source-distribution checksums</w:t>
      </w:r>
    </w:p>
    <w:tbl>
      <w:tblPr>
        <w:tblStyle w:val="TableGrid"/>
        <w:tblW w:type="auto" w:w="0"/>
        <w:jc w:val="center"/>
        <w:tblLayout w:type="autofit"/>
        <w:tblLook w:firstColumn="1" w:firstRow="1" w:lastColumn="0" w:lastRow="0" w:noHBand="0" w:noVBand="1" w:val="04A0"/>
      </w:tblPr>
      <w:tblGrid>
        <w:gridCol w:w="4824"/>
        <w:gridCol w:w="4824"/>
      </w:tblGrid>
      <w:tr>
        <w:trPr>
          <w:cantSplit/>
          <w:tblHeader w:val="true"/>
        </w:trPr>
        <w:tc>
          <w:tcPr>
            <w:tcW w:type="dxa" w:w="4824"/>
            <w:vAlign w:val="center"/>
            <w:tcMar>
              <w:top w:w="70" w:type="dxa"/>
              <w:start w:w="80" w:type="dxa"/>
              <w:bottom w:w="70" w:type="dxa"/>
              <w:end w:w="80" w:type="dxa"/>
            </w:tcMar>
            <w:shd w:fill="17324D"/>
          </w:tcPr>
          <w:p>
            <w:pPr>
              <w:spacing w:after="0" w:line="240" w:lineRule="auto"/>
              <w:keepNext/>
            </w:pPr>
            <w:r>
              <w:rPr>
                <w:rFonts w:ascii="Calibri" w:hAnsi="Calibri"/>
                <w:b/>
                <w:color w:val="FFFFFF"/>
                <w:sz w:val="16"/>
              </w:rPr>
            </w:r>
            <w:r>
              <w:rPr>
                <w:rFonts w:ascii="Calibri" w:hAnsi="Calibri"/>
                <w:b/>
                <w:color w:val="FFFFFF"/>
                <w:sz w:val="16"/>
              </w:rPr>
              <w:t>Artifact</w:t>
            </w:r>
          </w:p>
        </w:tc>
        <w:tc>
          <w:tcPr>
            <w:tcW w:type="dxa" w:w="4824"/>
            <w:vAlign w:val="center"/>
            <w:tcMar>
              <w:top w:w="70" w:type="dxa"/>
              <w:start w:w="80" w:type="dxa"/>
              <w:bottom w:w="70" w:type="dxa"/>
              <w:end w:w="80" w:type="dxa"/>
            </w:tcMar>
            <w:shd w:fill="17324D"/>
          </w:tcPr>
          <w:p>
            <w:pPr>
              <w:spacing w:after="0" w:line="240" w:lineRule="auto"/>
              <w:keepNext/>
            </w:pPr>
            <w:r>
              <w:rPr>
                <w:rFonts w:ascii="Calibri" w:hAnsi="Calibri"/>
                <w:b/>
                <w:color w:val="FFFFFF"/>
                <w:sz w:val="16"/>
              </w:rPr>
            </w:r>
            <w:r>
              <w:rPr>
                <w:rFonts w:ascii="Calibri" w:hAnsi="Calibri"/>
                <w:b/>
                <w:color w:val="FFFFFF"/>
                <w:sz w:val="16"/>
              </w:rPr>
              <w:t>SHA-256</w:t>
            </w:r>
          </w:p>
        </w:tc>
      </w:tr>
      <w:tr>
        <w:trPr>
          <w:cantSplit/>
        </w:trPr>
        <w:tc>
          <w:tcPr>
            <w:tcW w:type="dxa" w:w="4824"/>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color w:val="1E6F74"/>
                <w:sz w:val="16"/>
              </w:rPr>
              <w:t>medprov-0.1.0-py3-none-any.whl</w:t>
            </w:r>
          </w:p>
        </w:tc>
        <w:tc>
          <w:tcPr>
            <w:tcW w:type="dxa" w:w="4824"/>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color w:val="1E6F74"/>
                <w:sz w:val="16"/>
              </w:rPr>
              <w:t>5c803dc32bd3b033fcc0b6b0e72a781a8a3fe3855068c7f8b05eac817bece386</w:t>
            </w:r>
          </w:p>
        </w:tc>
      </w:tr>
      <w:tr>
        <w:trPr>
          <w:cantSplit/>
        </w:trPr>
        <w:tc>
          <w:tcPr>
            <w:tcW w:type="dxa" w:w="4824"/>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color w:val="1E6F74"/>
                <w:sz w:val="16"/>
              </w:rPr>
              <w:t>medprov-0.1.0.tar.gz</w:t>
            </w:r>
          </w:p>
        </w:tc>
        <w:tc>
          <w:tcPr>
            <w:tcW w:type="dxa" w:w="4824"/>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color w:val="1E6F74"/>
                <w:sz w:val="16"/>
              </w:rPr>
              <w:t>0d0641a58b9f5b5a71c5ecd8cecea0a71c1895b9214299dca70c4a65a9d53921</w:t>
            </w:r>
          </w:p>
        </w:tc>
      </w:tr>
    </w:tbl>
    <w:p>
      <w:pPr>
        <w:spacing w:after="0"/>
      </w:pPr>
    </w:p>
    <w:p>
      <w:pPr>
        <w:pStyle w:val="Heading2"/>
        <w:keepNext/>
      </w:pPr>
      <w:r>
        <w:t>Table S14. Full downstream stress-test estimates</w:t>
      </w:r>
    </w:p>
    <w:tbl>
      <w:tblPr>
        <w:tblStyle w:val="TableGrid"/>
        <w:tblW w:type="auto" w:w="0"/>
        <w:jc w:val="center"/>
        <w:tblLayout w:type="autofit"/>
        <w:tblLook w:firstColumn="1" w:firstRow="1" w:lastColumn="0" w:lastRow="0" w:noHBand="0" w:noVBand="1" w:val="04A0"/>
      </w:tblPr>
      <w:tblGrid>
        <w:gridCol w:w="1608"/>
        <w:gridCol w:w="1608"/>
        <w:gridCol w:w="1608"/>
        <w:gridCol w:w="1608"/>
        <w:gridCol w:w="1608"/>
        <w:gridCol w:w="1608"/>
      </w:tblGrid>
      <w:tr>
        <w:trPr>
          <w:cantSplit/>
          <w:tblHeader w:val="true"/>
        </w:trPr>
        <w:tc>
          <w:tcPr>
            <w:tcW w:type="dxa" w:w="1608"/>
            <w:vAlign w:val="center"/>
            <w:tcMar>
              <w:top w:w="70" w:type="dxa"/>
              <w:start w:w="80" w:type="dxa"/>
              <w:bottom w:w="70" w:type="dxa"/>
              <w:end w:w="80" w:type="dxa"/>
            </w:tcMar>
            <w:shd w:fill="17324D"/>
          </w:tcPr>
          <w:p>
            <w:pPr>
              <w:spacing w:after="0" w:line="240" w:lineRule="auto"/>
              <w:keepNext/>
            </w:pPr>
            <w:r>
              <w:rPr>
                <w:rFonts w:ascii="Calibri" w:hAnsi="Calibri"/>
                <w:b/>
                <w:color w:val="FFFFFF"/>
                <w:sz w:val="16"/>
              </w:rPr>
            </w:r>
            <w:r>
              <w:rPr>
                <w:rFonts w:ascii="Calibri" w:hAnsi="Calibri"/>
                <w:b/>
                <w:color w:val="FFFFFF"/>
                <w:sz w:val="16"/>
              </w:rPr>
              <w:t>Anchor/operator</w:t>
            </w:r>
          </w:p>
        </w:tc>
        <w:tc>
          <w:tcPr>
            <w:tcW w:type="dxa" w:w="1608"/>
            <w:vAlign w:val="center"/>
            <w:tcMar>
              <w:top w:w="70" w:type="dxa"/>
              <w:start w:w="80" w:type="dxa"/>
              <w:bottom w:w="70" w:type="dxa"/>
              <w:end w:w="80" w:type="dxa"/>
            </w:tcMar>
            <w:shd w:fill="17324D"/>
          </w:tcPr>
          <w:p>
            <w:pPr>
              <w:spacing w:after="0" w:line="240" w:lineRule="auto"/>
              <w:keepNext/>
            </w:pPr>
            <w:r>
              <w:rPr>
                <w:rFonts w:ascii="Calibri" w:hAnsi="Calibri"/>
                <w:b/>
                <w:color w:val="FFFFFF"/>
                <w:sz w:val="16"/>
              </w:rPr>
            </w:r>
            <w:r>
              <w:rPr>
                <w:rFonts w:ascii="Calibri" w:hAnsi="Calibri"/>
                <w:b/>
                <w:color w:val="FFFFFF"/>
                <w:sz w:val="16"/>
              </w:rPr>
              <w:t>Source</w:t>
            </w:r>
          </w:p>
        </w:tc>
        <w:tc>
          <w:tcPr>
            <w:tcW w:type="dxa" w:w="1608"/>
            <w:vAlign w:val="center"/>
            <w:tcMar>
              <w:top w:w="70" w:type="dxa"/>
              <w:start w:w="80" w:type="dxa"/>
              <w:bottom w:w="70" w:type="dxa"/>
              <w:end w:w="80" w:type="dxa"/>
            </w:tcMar>
            <w:shd w:fill="17324D"/>
          </w:tcPr>
          <w:p>
            <w:pPr>
              <w:spacing w:after="0" w:line="240" w:lineRule="auto"/>
              <w:keepNext/>
            </w:pPr>
            <w:r>
              <w:rPr>
                <w:rFonts w:ascii="Calibri" w:hAnsi="Calibri"/>
                <w:b/>
                <w:color w:val="FFFFFF"/>
                <w:sz w:val="16"/>
              </w:rPr>
            </w:r>
            <w:r>
              <w:rPr>
                <w:rFonts w:ascii="Calibri" w:hAnsi="Calibri"/>
                <w:b/>
                <w:color w:val="FFFFFF"/>
                <w:sz w:val="16"/>
              </w:rPr>
              <w:t>Exposed</w:t>
            </w:r>
          </w:p>
        </w:tc>
        <w:tc>
          <w:tcPr>
            <w:tcW w:type="dxa" w:w="1608"/>
            <w:vAlign w:val="center"/>
            <w:tcMar>
              <w:top w:w="70" w:type="dxa"/>
              <w:start w:w="80" w:type="dxa"/>
              <w:bottom w:w="70" w:type="dxa"/>
              <w:end w:w="80" w:type="dxa"/>
            </w:tcMar>
            <w:shd w:fill="17324D"/>
          </w:tcPr>
          <w:p>
            <w:pPr>
              <w:spacing w:after="0" w:line="240" w:lineRule="auto"/>
              <w:keepNext/>
            </w:pPr>
            <w:r>
              <w:rPr>
                <w:rFonts w:ascii="Calibri" w:hAnsi="Calibri"/>
                <w:b/>
                <w:color w:val="FFFFFF"/>
                <w:sz w:val="16"/>
              </w:rPr>
            </w:r>
            <w:r>
              <w:rPr>
                <w:rFonts w:ascii="Calibri" w:hAnsi="Calibri"/>
                <w:b/>
                <w:color w:val="FFFFFF"/>
                <w:sz w:val="16"/>
              </w:rPr>
              <w:t>Effect (95% CI)</w:t>
            </w:r>
          </w:p>
        </w:tc>
        <w:tc>
          <w:tcPr>
            <w:tcW w:type="dxa" w:w="1608"/>
            <w:vAlign w:val="center"/>
            <w:tcMar>
              <w:top w:w="70" w:type="dxa"/>
              <w:start w:w="80" w:type="dxa"/>
              <w:bottom w:w="70" w:type="dxa"/>
              <w:end w:w="80" w:type="dxa"/>
            </w:tcMar>
            <w:shd w:fill="17324D"/>
          </w:tcPr>
          <w:p>
            <w:pPr>
              <w:spacing w:after="0" w:line="240" w:lineRule="auto"/>
              <w:keepNext/>
            </w:pPr>
            <w:r>
              <w:rPr>
                <w:rFonts w:ascii="Calibri" w:hAnsi="Calibri"/>
                <w:b/>
                <w:color w:val="FFFFFF"/>
                <w:sz w:val="16"/>
              </w:rPr>
            </w:r>
            <w:r>
              <w:rPr>
                <w:rFonts w:ascii="Calibri" w:hAnsi="Calibri"/>
                <w:b/>
                <w:color w:val="FFFFFF"/>
                <w:sz w:val="16"/>
              </w:rPr>
              <w:t>Δlog administration−order</w:t>
            </w:r>
          </w:p>
        </w:tc>
        <w:tc>
          <w:tcPr>
            <w:tcW w:type="dxa" w:w="1608"/>
            <w:vAlign w:val="center"/>
            <w:tcMar>
              <w:top w:w="70" w:type="dxa"/>
              <w:start w:w="80" w:type="dxa"/>
              <w:bottom w:w="70" w:type="dxa"/>
              <w:end w:w="80" w:type="dxa"/>
            </w:tcMar>
            <w:shd w:fill="17324D"/>
          </w:tcPr>
          <w:p>
            <w:pPr>
              <w:spacing w:after="0" w:line="240" w:lineRule="auto"/>
              <w:keepNext/>
            </w:pPr>
            <w:r>
              <w:rPr>
                <w:rFonts w:ascii="Calibri" w:hAnsi="Calibri"/>
                <w:b/>
                <w:color w:val="FFFFFF"/>
                <w:sz w:val="16"/>
              </w:rPr>
            </w:r>
            <w:r>
              <w:rPr>
                <w:rFonts w:ascii="Calibri" w:hAnsi="Calibri"/>
                <w:b/>
                <w:color w:val="FFFFFF"/>
                <w:sz w:val="16"/>
              </w:rPr>
              <w:t>Crossed null direction</w:t>
            </w:r>
          </w:p>
        </w:tc>
      </w:tr>
      <w:tr>
        <w:trPr>
          <w:cantSplit/>
        </w:trPr>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A1 original strict</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Order</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7,047</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OR 1.868 (1.715–2.036)</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Reference</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w:t>
            </w:r>
          </w:p>
        </w:tc>
      </w:tr>
      <w:tr>
        <w:trPr>
          <w:cantSplit/>
        </w:trPr>
        <w:tc>
          <w:tcPr>
            <w:tcW w:type="dxa" w:w="1608"/>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A1 original strict</w:t>
            </w:r>
          </w:p>
        </w:tc>
        <w:tc>
          <w:tcPr>
            <w:tcW w:type="dxa" w:w="1608"/>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Administration</w:t>
            </w:r>
          </w:p>
        </w:tc>
        <w:tc>
          <w:tcPr>
            <w:tcW w:type="dxa" w:w="1608"/>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5,538</w:t>
            </w:r>
          </w:p>
        </w:tc>
        <w:tc>
          <w:tcPr>
            <w:tcW w:type="dxa" w:w="1608"/>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OR 1.953 (1.788–2.133)</w:t>
            </w:r>
          </w:p>
        </w:tc>
        <w:tc>
          <w:tcPr>
            <w:tcW w:type="dxa" w:w="1608"/>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0.044</w:t>
            </w:r>
          </w:p>
        </w:tc>
        <w:tc>
          <w:tcPr>
            <w:tcW w:type="dxa" w:w="1608"/>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No</w:t>
            </w:r>
          </w:p>
        </w:tc>
      </w:tr>
      <w:tr>
        <w:trPr>
          <w:cantSplit/>
        </w:trPr>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A1 original broad</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Administration</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12,362</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OR 0.907 (0.831–0.990)</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−0.723</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Yes</w:t>
            </w:r>
          </w:p>
        </w:tc>
      </w:tr>
      <w:tr>
        <w:trPr>
          <w:cantSplit/>
        </w:trPr>
        <w:tc>
          <w:tcPr>
            <w:tcW w:type="dxa" w:w="1608"/>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A1 dose-constrained broad</w:t>
            </w:r>
          </w:p>
        </w:tc>
        <w:tc>
          <w:tcPr>
            <w:tcW w:type="dxa" w:w="1608"/>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Administration</w:t>
            </w:r>
          </w:p>
        </w:tc>
        <w:tc>
          <w:tcPr>
            <w:tcW w:type="dxa" w:w="1608"/>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12,183</w:t>
            </w:r>
          </w:p>
        </w:tc>
        <w:tc>
          <w:tcPr>
            <w:tcW w:type="dxa" w:w="1608"/>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OR 0.909</w:t>
            </w:r>
          </w:p>
        </w:tc>
        <w:tc>
          <w:tcPr>
            <w:tcW w:type="dxa" w:w="1608"/>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−0.720</w:t>
            </w:r>
          </w:p>
        </w:tc>
        <w:tc>
          <w:tcPr>
            <w:tcW w:type="dxa" w:w="1608"/>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Yes</w:t>
            </w:r>
          </w:p>
        </w:tc>
      </w:tr>
      <w:tr>
        <w:trPr>
          <w:cantSplit/>
        </w:trPr>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A2 original strict</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Order</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655</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HR 1.904 (1.683–2.154)</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Reference</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w:t>
            </w:r>
          </w:p>
        </w:tc>
      </w:tr>
      <w:tr>
        <w:trPr>
          <w:cantSplit/>
        </w:trPr>
        <w:tc>
          <w:tcPr>
            <w:tcW w:type="dxa" w:w="1608"/>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A2 original strict</w:t>
            </w:r>
          </w:p>
        </w:tc>
        <w:tc>
          <w:tcPr>
            <w:tcW w:type="dxa" w:w="1608"/>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Administration</w:t>
            </w:r>
          </w:p>
        </w:tc>
        <w:tc>
          <w:tcPr>
            <w:tcW w:type="dxa" w:w="1608"/>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518</w:t>
            </w:r>
          </w:p>
        </w:tc>
        <w:tc>
          <w:tcPr>
            <w:tcW w:type="dxa" w:w="1608"/>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HR 1.926 (1.689–2.196)</w:t>
            </w:r>
          </w:p>
        </w:tc>
        <w:tc>
          <w:tcPr>
            <w:tcW w:type="dxa" w:w="1608"/>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0.012</w:t>
            </w:r>
          </w:p>
        </w:tc>
        <w:tc>
          <w:tcPr>
            <w:tcW w:type="dxa" w:w="1608"/>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No</w:t>
            </w:r>
          </w:p>
        </w:tc>
      </w:tr>
      <w:tr>
        <w:trPr>
          <w:cantSplit/>
        </w:trPr>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A2 original broad</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Administration</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870</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HR 1.208 (1.070–1.363)</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−0.455</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No</w:t>
            </w:r>
          </w:p>
        </w:tc>
      </w:tr>
      <w:tr>
        <w:trPr>
          <w:cantSplit/>
        </w:trPr>
        <w:tc>
          <w:tcPr>
            <w:tcW w:type="dxa" w:w="1608"/>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A2 hospital-overlap strict</w:t>
            </w:r>
          </w:p>
        </w:tc>
        <w:tc>
          <w:tcPr>
            <w:tcW w:type="dxa" w:w="1608"/>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Order</w:t>
            </w:r>
          </w:p>
        </w:tc>
        <w:tc>
          <w:tcPr>
            <w:tcW w:type="dxa" w:w="1608"/>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776</w:t>
            </w:r>
          </w:p>
        </w:tc>
        <w:tc>
          <w:tcPr>
            <w:tcW w:type="dxa" w:w="1608"/>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HR 1.643 (1.457–1.854)</w:t>
            </w:r>
          </w:p>
        </w:tc>
        <w:tc>
          <w:tcPr>
            <w:tcW w:type="dxa" w:w="1608"/>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Reference</w:t>
            </w:r>
          </w:p>
        </w:tc>
        <w:tc>
          <w:tcPr>
            <w:tcW w:type="dxa" w:w="1608"/>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w:t>
            </w:r>
          </w:p>
        </w:tc>
      </w:tr>
      <w:tr>
        <w:trPr>
          <w:cantSplit/>
        </w:trPr>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A2 hospital-overlap strict</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Administration</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521</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HR 1.927 (1.691–2.196)</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0.159</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No</w:t>
            </w:r>
          </w:p>
        </w:tc>
      </w:tr>
      <w:tr>
        <w:trPr>
          <w:cantSplit/>
        </w:trPr>
        <w:tc>
          <w:tcPr>
            <w:tcW w:type="dxa" w:w="1608"/>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A2 hospital-overlap broad</w:t>
            </w:r>
          </w:p>
        </w:tc>
        <w:tc>
          <w:tcPr>
            <w:tcW w:type="dxa" w:w="1608"/>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Administration</w:t>
            </w:r>
          </w:p>
        </w:tc>
        <w:tc>
          <w:tcPr>
            <w:tcW w:type="dxa" w:w="1608"/>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870</w:t>
            </w:r>
          </w:p>
        </w:tc>
        <w:tc>
          <w:tcPr>
            <w:tcW w:type="dxa" w:w="1608"/>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HR 1.208 (1.070–1.363)</w:t>
            </w:r>
          </w:p>
        </w:tc>
        <w:tc>
          <w:tcPr>
            <w:tcW w:type="dxa" w:w="1608"/>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−0.308</w:t>
            </w:r>
          </w:p>
        </w:tc>
        <w:tc>
          <w:tcPr>
            <w:tcW w:type="dxa" w:w="1608"/>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No</w:t>
            </w:r>
          </w:p>
        </w:tc>
      </w:tr>
    </w:tbl>
    <w:p>
      <w:pPr>
        <w:spacing w:after="0"/>
      </w:pPr>
    </w:p>
    <w:p>
      <w:pPr>
        <w:pStyle w:val="Heading2"/>
        <w:keepNext/>
      </w:pPr>
      <w:r>
        <w:t>Table S15. Bounded comparison with adjacent standards and methods</w:t>
      </w:r>
    </w:p>
    <w:tbl>
      <w:tblPr>
        <w:tblStyle w:val="TableGrid"/>
        <w:tblW w:type="auto" w:w="0"/>
        <w:jc w:val="center"/>
        <w:tblLayout w:type="autofit"/>
        <w:tblLook w:firstColumn="1" w:firstRow="1" w:lastColumn="0" w:lastRow="0" w:noHBand="0" w:noVBand="1" w:val="04A0"/>
      </w:tblPr>
      <w:tblGrid>
        <w:gridCol w:w="3216"/>
        <w:gridCol w:w="3216"/>
        <w:gridCol w:w="3216"/>
      </w:tblGrid>
      <w:tr>
        <w:trPr>
          <w:cantSplit/>
          <w:tblHeader w:val="true"/>
        </w:trPr>
        <w:tc>
          <w:tcPr>
            <w:tcW w:type="dxa" w:w="3216"/>
            <w:vAlign w:val="center"/>
            <w:tcMar>
              <w:top w:w="70" w:type="dxa"/>
              <w:start w:w="80" w:type="dxa"/>
              <w:bottom w:w="70" w:type="dxa"/>
              <w:end w:w="80" w:type="dxa"/>
            </w:tcMar>
            <w:shd w:fill="17324D"/>
          </w:tcPr>
          <w:p>
            <w:pPr>
              <w:spacing w:after="0" w:line="240" w:lineRule="auto"/>
              <w:keepNext/>
            </w:pPr>
            <w:r>
              <w:rPr>
                <w:rFonts w:ascii="Calibri" w:hAnsi="Calibri"/>
                <w:b/>
                <w:color w:val="FFFFFF"/>
                <w:sz w:val="16"/>
              </w:rPr>
            </w:r>
            <w:r>
              <w:rPr>
                <w:rFonts w:ascii="Calibri" w:hAnsi="Calibri"/>
                <w:b/>
                <w:color w:val="FFFFFF"/>
                <w:sz w:val="16"/>
              </w:rPr>
              <w:t>Family</w:t>
            </w:r>
          </w:p>
        </w:tc>
        <w:tc>
          <w:tcPr>
            <w:tcW w:type="dxa" w:w="3216"/>
            <w:vAlign w:val="center"/>
            <w:tcMar>
              <w:top w:w="70" w:type="dxa"/>
              <w:start w:w="80" w:type="dxa"/>
              <w:bottom w:w="70" w:type="dxa"/>
              <w:end w:w="80" w:type="dxa"/>
            </w:tcMar>
            <w:shd w:fill="17324D"/>
          </w:tcPr>
          <w:p>
            <w:pPr>
              <w:spacing w:after="0" w:line="240" w:lineRule="auto"/>
              <w:keepNext/>
            </w:pPr>
            <w:r>
              <w:rPr>
                <w:rFonts w:ascii="Calibri" w:hAnsi="Calibri"/>
                <w:b/>
                <w:color w:val="FFFFFF"/>
                <w:sz w:val="16"/>
              </w:rPr>
            </w:r>
            <w:r>
              <w:rPr>
                <w:rFonts w:ascii="Calibri" w:hAnsi="Calibri"/>
                <w:b/>
                <w:color w:val="FFFFFF"/>
                <w:sz w:val="16"/>
              </w:rPr>
              <w:t>Primary contribution</w:t>
            </w:r>
          </w:p>
        </w:tc>
        <w:tc>
          <w:tcPr>
            <w:tcW w:type="dxa" w:w="3216"/>
            <w:vAlign w:val="center"/>
            <w:tcMar>
              <w:top w:w="70" w:type="dxa"/>
              <w:start w:w="80" w:type="dxa"/>
              <w:bottom w:w="70" w:type="dxa"/>
              <w:end w:w="80" w:type="dxa"/>
            </w:tcMar>
            <w:shd w:fill="17324D"/>
          </w:tcPr>
          <w:p>
            <w:pPr>
              <w:spacing w:after="0" w:line="240" w:lineRule="auto"/>
              <w:keepNext/>
            </w:pPr>
            <w:r>
              <w:rPr>
                <w:rFonts w:ascii="Calibri" w:hAnsi="Calibri"/>
                <w:b/>
                <w:color w:val="FFFFFF"/>
                <w:sz w:val="16"/>
              </w:rPr>
            </w:r>
            <w:r>
              <w:rPr>
                <w:rFonts w:ascii="Calibri" w:hAnsi="Calibri"/>
                <w:b/>
                <w:color w:val="FFFFFF"/>
                <w:sz w:val="16"/>
              </w:rPr>
              <w:t>Provenance-operator complement</w:t>
            </w:r>
          </w:p>
        </w:tc>
      </w:tr>
      <w:tr>
        <w:trPr>
          <w:cantSplit/>
        </w:trPr>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FHIR medication resources</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Separates request, dispense, administration and statement roles</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Declares identity, clock and event-semantic mappings across resources</w:t>
            </w:r>
          </w:p>
        </w:tc>
      </w:tr>
      <w:tr>
        <w:trPr>
          <w:cantSplit/>
        </w:trPr>
        <w:tc>
          <w:tcPr>
            <w:tcW w:type="dxa" w:w="3216"/>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OMOP CDM / ATLAS</w:t>
            </w:r>
          </w:p>
        </w:tc>
        <w:tc>
          <w:tcPr>
            <w:tcW w:type="dxa" w:w="3216"/>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Standard drug records and executable common-model cohorts</w:t>
            </w:r>
          </w:p>
        </w:tc>
        <w:tc>
          <w:tcPr>
            <w:tcW w:type="dxa" w:w="3216"/>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Retains source role and fail-closed event/metadata capability</w:t>
            </w:r>
          </w:p>
        </w:tc>
      </w:tr>
      <w:tr>
        <w:trPr>
          <w:cantSplit/>
        </w:trPr>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CQL</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Executable clinical logic</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Supplies the medication-specific observable-evidence contract</w:t>
            </w:r>
          </w:p>
        </w:tc>
      </w:tr>
      <w:tr>
        <w:trPr>
          <w:cantSplit/>
        </w:trPr>
        <w:tc>
          <w:tcPr>
            <w:tcW w:type="dxa" w:w="3216"/>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PheKB / computable phenotypes</w:t>
            </w:r>
          </w:p>
        </w:tc>
        <w:tc>
          <w:tcPr>
            <w:tcW w:type="dxa" w:w="3216"/>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Dissemination and portability workflows</w:t>
            </w:r>
          </w:p>
        </w:tc>
        <w:tc>
          <w:tcPr>
            <w:tcW w:type="dxa" w:w="3216"/>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Adds machine-testable source, identity, time, semantics and metadata fields</w:t>
            </w:r>
          </w:p>
        </w:tc>
      </w:tr>
      <w:tr>
        <w:trPr>
          <w:cantSplit/>
        </w:trPr>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RECORD-PE / RECORD / STROBE</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Reporting transparency</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Provides executable evidence rather than narrative reporting alone</w:t>
            </w:r>
          </w:p>
        </w:tc>
      </w:tr>
      <w:tr>
        <w:trPr>
          <w:cantSplit/>
        </w:trPr>
        <w:tc>
          <w:tcPr>
            <w:tcW w:type="dxa" w:w="3216"/>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STaRT-RWE / HARPER</w:t>
            </w:r>
          </w:p>
        </w:tc>
        <w:tc>
          <w:tcPr>
            <w:tcW w:type="dxa" w:w="3216"/>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Structured design and protocol decisions</w:t>
            </w:r>
          </w:p>
        </w:tc>
        <w:tc>
          <w:tcPr>
            <w:tcW w:type="dxa" w:w="3216"/>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Compiles exposure decisions against representation capabilities</w:t>
            </w:r>
          </w:p>
        </w:tc>
      </w:tr>
    </w:tbl>
    <w:p>
      <w:pPr>
        <w:spacing w:after="0"/>
      </w:pPr>
    </w:p>
    <w:p>
      <w:r>
        <w:t>No numeric superiority score was calculated because these families solve complementary problems.</w:t>
      </w:r>
    </w:p>
    <w:p>
      <w:pPr>
        <w:pStyle w:val="Heading2"/>
        <w:keepNext/>
      </w:pPr>
      <w:r>
        <w:t>Table S16. Claim boundary matrix</w:t>
      </w:r>
    </w:p>
    <w:tbl>
      <w:tblPr>
        <w:tblStyle w:val="TableGrid"/>
        <w:tblW w:type="auto" w:w="0"/>
        <w:jc w:val="center"/>
        <w:tblLayout w:type="autofit"/>
        <w:tblLook w:firstColumn="1" w:firstRow="1" w:lastColumn="0" w:lastRow="0" w:noHBand="0" w:noVBand="1" w:val="04A0"/>
      </w:tblPr>
      <w:tblGrid>
        <w:gridCol w:w="3216"/>
        <w:gridCol w:w="3216"/>
        <w:gridCol w:w="3216"/>
      </w:tblGrid>
      <w:tr>
        <w:trPr>
          <w:cantSplit/>
          <w:tblHeader w:val="true"/>
        </w:trPr>
        <w:tc>
          <w:tcPr>
            <w:tcW w:type="dxa" w:w="3216"/>
            <w:vAlign w:val="center"/>
            <w:tcMar>
              <w:top w:w="70" w:type="dxa"/>
              <w:start w:w="80" w:type="dxa"/>
              <w:bottom w:w="70" w:type="dxa"/>
              <w:end w:w="80" w:type="dxa"/>
            </w:tcMar>
            <w:shd w:fill="17324D"/>
          </w:tcPr>
          <w:p>
            <w:pPr>
              <w:spacing w:after="0" w:line="240" w:lineRule="auto"/>
              <w:keepNext/>
            </w:pPr>
            <w:r>
              <w:rPr>
                <w:rFonts w:ascii="Calibri" w:hAnsi="Calibri"/>
                <w:b/>
                <w:color w:val="FFFFFF"/>
                <w:sz w:val="16"/>
              </w:rPr>
            </w:r>
            <w:r>
              <w:rPr>
                <w:rFonts w:ascii="Calibri" w:hAnsi="Calibri"/>
                <w:b/>
                <w:color w:val="FFFFFF"/>
                <w:sz w:val="16"/>
              </w:rPr>
              <w:t>Result</w:t>
            </w:r>
          </w:p>
        </w:tc>
        <w:tc>
          <w:tcPr>
            <w:tcW w:type="dxa" w:w="3216"/>
            <w:vAlign w:val="center"/>
            <w:tcMar>
              <w:top w:w="70" w:type="dxa"/>
              <w:start w:w="80" w:type="dxa"/>
              <w:bottom w:w="70" w:type="dxa"/>
              <w:end w:w="80" w:type="dxa"/>
            </w:tcMar>
            <w:shd w:fill="17324D"/>
          </w:tcPr>
          <w:p>
            <w:pPr>
              <w:spacing w:after="0" w:line="240" w:lineRule="auto"/>
              <w:keepNext/>
            </w:pPr>
            <w:r>
              <w:rPr>
                <w:rFonts w:ascii="Calibri" w:hAnsi="Calibri"/>
                <w:b/>
                <w:color w:val="FFFFFF"/>
                <w:sz w:val="16"/>
              </w:rPr>
            </w:r>
            <w:r>
              <w:rPr>
                <w:rFonts w:ascii="Calibri" w:hAnsi="Calibri"/>
                <w:b/>
                <w:color w:val="FFFFFF"/>
                <w:sz w:val="16"/>
              </w:rPr>
              <w:t>Supported claim</w:t>
            </w:r>
          </w:p>
        </w:tc>
        <w:tc>
          <w:tcPr>
            <w:tcW w:type="dxa" w:w="3216"/>
            <w:vAlign w:val="center"/>
            <w:tcMar>
              <w:top w:w="70" w:type="dxa"/>
              <w:start w:w="80" w:type="dxa"/>
              <w:bottom w:w="70" w:type="dxa"/>
              <w:end w:w="80" w:type="dxa"/>
            </w:tcMar>
            <w:shd w:fill="17324D"/>
          </w:tcPr>
          <w:p>
            <w:pPr>
              <w:spacing w:after="0" w:line="240" w:lineRule="auto"/>
              <w:keepNext/>
            </w:pPr>
            <w:r>
              <w:rPr>
                <w:rFonts w:ascii="Calibri" w:hAnsi="Calibri"/>
                <w:b/>
                <w:color w:val="FFFFFF"/>
                <w:sz w:val="16"/>
              </w:rPr>
            </w:r>
            <w:r>
              <w:rPr>
                <w:rFonts w:ascii="Calibri" w:hAnsi="Calibri"/>
                <w:b/>
                <w:color w:val="FFFFFF"/>
                <w:sz w:val="16"/>
              </w:rPr>
              <w:t>Unsupported claim</w:t>
            </w:r>
          </w:p>
        </w:tc>
      </w:tr>
      <w:tr>
        <w:trPr>
          <w:cantSplit/>
        </w:trPr>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MIMIC exact parity</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Reference implementation reproduces frozen aggregates</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Medication events represent biological truth</w:t>
            </w:r>
          </w:p>
        </w:tc>
      </w:tr>
      <w:tr>
        <w:trPr>
          <w:cantSplit/>
        </w:trPr>
        <w:tc>
          <w:tcPr>
            <w:tcW w:type="dxa" w:w="3216"/>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Operator ablation</w:t>
            </w:r>
          </w:p>
        </w:tc>
        <w:tc>
          <w:tcPr>
            <w:tcW w:type="dxa" w:w="3216"/>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Dimensions change classification and measurability</w:t>
            </w:r>
          </w:p>
        </w:tc>
        <w:tc>
          <w:tcPr>
            <w:tcW w:type="dxa" w:w="3216"/>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Broad or strict definition is universally superior</w:t>
            </w:r>
          </w:p>
        </w:tc>
      </w:tr>
      <w:tr>
        <w:trPr>
          <w:cantSplit/>
        </w:trPr>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FHIR demo</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Functional cross-schema transport and semantic relocation</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Full-dataset or cross-institution validation</w:t>
            </w:r>
          </w:p>
        </w:tc>
      </w:tr>
      <w:tr>
        <w:trPr>
          <w:cantSplit/>
        </w:trPr>
        <w:tc>
          <w:tcPr>
            <w:tcW w:type="dxa" w:w="3216"/>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OMOP demo</w:t>
            </w:r>
          </w:p>
        </w:tc>
        <w:tc>
          <w:tcPr>
            <w:tcW w:type="dxa" w:w="3216"/>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Capability and semantic-loss demonstration</w:t>
            </w:r>
          </w:p>
        </w:tc>
        <w:tc>
          <w:tcPr>
            <w:tcW w:type="dxa" w:w="3216"/>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OMOP is unsuitable for drug research</w:t>
            </w:r>
          </w:p>
        </w:tc>
      </w:tr>
      <w:tr>
        <w:trPr>
          <w:cantSplit/>
        </w:trPr>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eICU</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Interface observability and gate behavior</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External validation, adherence or quality ranking</w:t>
            </w:r>
          </w:p>
        </w:tc>
      </w:tr>
      <w:tr>
        <w:trPr>
          <w:cantSplit/>
        </w:trPr>
        <w:tc>
          <w:tcPr>
            <w:tcW w:type="dxa" w:w="3216"/>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Literature validator</w:t>
            </w:r>
          </w:p>
        </w:tc>
        <w:tc>
          <w:tcPr>
            <w:tcW w:type="dxa" w:w="3216"/>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Published evidence did not specify complete operators</w:t>
            </w:r>
          </w:p>
        </w:tc>
        <w:tc>
          <w:tcPr>
            <w:tcW w:type="dxa" w:w="3216"/>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The original studies were analytically wrong</w:t>
            </w:r>
          </w:p>
        </w:tc>
      </w:tr>
      <w:tr>
        <w:trPr>
          <w:cantSplit/>
        </w:trPr>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A1/A2 stress tests</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Exposure definition can propagate to estimates</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Causal benefit, harm or treatment recommendation</w:t>
            </w:r>
          </w:p>
        </w:tc>
      </w:tr>
    </w:tbl>
    <w:p>
      <w:pPr>
        <w:spacing w:after="0"/>
      </w:pPr>
    </w:p>
    <w:p>
      <w:pPr>
        <w:pStyle w:val="Heading1"/>
        <w:keepNext/>
      </w:pPr>
      <w:r>
        <w:t>Reproducibility notes</w:t>
      </w:r>
    </w:p>
    <w:p>
      <w:r>
        <w:t>The public repository contains the schema, example operators, source code, command-line guide, adapter-authoring guide, contracts, class lists, synthetic fixtures, tests, aggregate reports, figure data, and figure-generation script. Licensed source data must be acquired directly from PhysioNet. The public executor rejects native identifiers and writes aggregate outputs only.</w:t>
      </w:r>
    </w:p>
    <w:p>
      <w:r>
        <w:t>Core commands after installation are:</w:t>
      </w:r>
    </w:p>
    <w:p>
      <w:r>
        <w:rPr>
          <w:rFonts w:ascii="Consolas" w:hAnsi="Consolas"/>
          <w:color w:val="1E6F74"/>
          <w:sz w:val="18"/>
        </w:rPr>
        <w:t>medprov validate-spec examples/mimic_strict_same_poe.yaml</w:t>
      </w:r>
    </w:p>
    <w:p>
      <w:r>
        <w:rPr>
          <w:rFonts w:ascii="Consolas" w:hAnsi="Consolas"/>
          <w:color w:val="1E6F74"/>
          <w:sz w:val="18"/>
        </w:rPr>
        <w:t>medprov demo --out demo_output</w:t>
      </w:r>
    </w:p>
    <w:p>
      <w:r>
        <w:t>The exact local MIMIC and full eICU evaluations require credentialed read-only source paths and are not run by the public smoke test. Their aggregate expected values and validation manifests are distributed so authorized users can compare local execution without receiving restricted rows.</w:t>
      </w:r>
    </w:p>
    <w:sectPr w:rsidR="00FC693F" w:rsidRPr="0006063C" w:rsidSect="00034616">
      <w:headerReference w:type="default" r:id="rId9"/>
      <w:footerReference w:type="default" r:id="rId10"/>
      <w:pgSz w:w="12240" w:h="15840"/>
      <w:pgMar w:top="1224" w:right="1296" w:bottom="1152"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2667A"/>
        <w:sz w:val="16"/>
      </w:rPr>
      <w:t>EXECUTABLE MEDICATION-EXPOSURE PROVENANCE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Calibri" w:hAnsi="Calibri"/>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17324D"/>
      <w:sz w:val="28"/>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Calibri" w:hAnsi="Calibri"/>
      <w:b/>
      <w:bCs/>
      <w:color w:val="1E6F74"/>
      <w:sz w:val="24"/>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Calibri" w:hAnsi="Calibri"/>
      <w:b/>
      <w:bCs/>
      <w:color w:val="52667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ascii="Calibri" w:hAnsi="Calibri"/>
      <w:b/>
      <w:color w:val="17324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Supporting Information</dc:title>
  <dc:subject>Journal of Biomedical Informatics submission</dc:subject>
  <dc:creator>Jiajun Luo; Qinglong Chen; Jing Liu; Fanghui Lu; Xiaolong Liang</dc:creator>
  <cp:keywords>medication exposure; provenance; EHR; FHIR; OMOP</cp:keywords>
  <dc:description>generated by python-docx</dc:description>
  <cp:lastModifiedBy/>
  <cp:revision>1</cp:revision>
  <dcterms:created xsi:type="dcterms:W3CDTF">2013-12-23T23:15:00Z</dcterms:created>
  <dcterms:modified xsi:type="dcterms:W3CDTF">2013-12-23T23:15:00Z</dcterms:modified>
  <cp:category/>
</cp:coreProperties>
</file>