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120"/>
      </w:pPr>
      <w:r>
        <w:rPr>
          <w:rFonts w:ascii="Hiragino Sans GB" w:hAnsi="Hiragino Sans GB" w:eastAsia="Hiragino Sans GB" w:cs="Hiragino Sans GB"/>
          <w:b/>
          <w:color w:val="163452"/>
          <w:sz w:val="48"/>
          <w:lang w:val="zh-CN" w:eastAsia="zh-CN"/>
        </w:rPr>
        <w:t>脑机接口外设章节提纲</w:t>
      </w:r>
    </w:p>
    <w:p>
      <w:pPr>
        <w:spacing w:after="320"/>
      </w:pPr>
      <w:r>
        <w:rPr>
          <w:rFonts w:ascii="Hiragino Sans GB" w:hAnsi="Hiragino Sans GB" w:eastAsia="Hiragino Sans GB" w:cs="Hiragino Sans GB"/>
          <w:b w:val="0"/>
          <w:color w:val="5B656F"/>
          <w:sz w:val="22"/>
          <w:lang w:val="zh-CN" w:eastAsia="zh-CN"/>
        </w:rPr>
        <w:t>一级结构与总引框架 · 初步确认版</w:t>
      </w:r>
    </w:p>
    <w:p>
      <w:pPr>
        <w:spacing w:before="0" w:after="240" w:line="300" w:lineRule="auto"/>
        <w:ind w:left="173" w:right="173"/>
        <w:shd w:fill="F4F6F9"/>
      </w:pPr>
      <w:r>
        <w:rPr>
          <w:rFonts w:ascii="Hiragino Sans GB" w:hAnsi="Hiragino Sans GB" w:eastAsia="Hiragino Sans GB" w:cs="Hiragino Sans GB"/>
          <w:b/>
          <w:color w:val="1F4D78"/>
          <w:sz w:val="21"/>
          <w:lang w:val="zh-CN" w:eastAsia="zh-CN"/>
        </w:rPr>
        <w:t>文档范围：</w:t>
      </w:r>
      <w:r>
        <w:rPr>
          <w:rFonts w:ascii="Hiragino Sans GB" w:hAnsi="Hiragino Sans GB" w:eastAsia="Hiragino Sans GB" w:cs="Hiragino Sans GB"/>
          <w:b w:val="0"/>
          <w:color w:val="2D2D2D"/>
          <w:sz w:val="21"/>
          <w:lang w:val="zh-CN" w:eastAsia="zh-CN"/>
        </w:rPr>
        <w:t>记录当前已经确认的章节一级大纲，以及总引部分的写作结构。总引正文将在两个主体章节完成后回写。</w:t>
      </w:r>
    </w:p>
    <w:p>
      <w:pPr>
        <w:pStyle w:val="Heading1"/>
      </w:pPr>
      <w:r>
        <w:t>一、章节一级大纲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Hiragino Sans GB" w:hAnsi="Hiragino Sans GB" w:eastAsia="Hiragino Sans GB" w:cs="Hiragino Sans GB"/>
          <w:b/>
          <w:color w:val="1F4D78"/>
          <w:sz w:val="22"/>
          <w:lang w:val="zh-CN" w:eastAsia="zh-CN"/>
        </w:rPr>
        <w:t>脑机接口外设的定义、作用与发展概况</w:t>
      </w:r>
      <w:r>
        <w:rPr>
          <w:rFonts w:ascii="Hiragino Sans GB" w:hAnsi="Hiragino Sans GB" w:eastAsia="Hiragino Sans GB" w:cs="Hiragino Sans GB"/>
          <w:b w:val="0"/>
          <w:color w:val="1E1E1E"/>
          <w:sz w:val="22"/>
          <w:lang w:val="zh-CN" w:eastAsia="zh-CN"/>
        </w:rPr>
        <w:br/>
        <w:t>明确讨论边界，概括外设为什么重要、包括什么，以及领域整体发展到什么阶段。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Hiragino Sans GB" w:hAnsi="Hiragino Sans GB" w:eastAsia="Hiragino Sans GB" w:cs="Hiragino Sans GB"/>
          <w:b/>
          <w:color w:val="1F4D78"/>
          <w:sz w:val="22"/>
          <w:lang w:val="zh-CN" w:eastAsia="zh-CN"/>
        </w:rPr>
        <w:t>侵入式脑机接口系统中的外设</w:t>
      </w:r>
      <w:r>
        <w:rPr>
          <w:rFonts w:ascii="Hiragino Sans GB" w:hAnsi="Hiragino Sans GB" w:eastAsia="Hiragino Sans GB" w:cs="Hiragino Sans GB"/>
          <w:b w:val="0"/>
          <w:color w:val="1E1E1E"/>
          <w:sz w:val="22"/>
          <w:lang w:val="zh-CN" w:eastAsia="zh-CN"/>
        </w:rPr>
        <w:br/>
        <w:t>按照 Why → What → 功能关系 → How，梳理主要外设、代表性方案、实现能力与成熟程度。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Hiragino Sans GB" w:hAnsi="Hiragino Sans GB" w:eastAsia="Hiragino Sans GB" w:cs="Hiragino Sans GB"/>
          <w:b/>
          <w:color w:val="1F4D78"/>
          <w:sz w:val="22"/>
          <w:lang w:val="zh-CN" w:eastAsia="zh-CN"/>
        </w:rPr>
        <w:t>非侵入式脑机接口系统中的外设</w:t>
      </w:r>
      <w:r>
        <w:rPr>
          <w:rFonts w:ascii="Hiragino Sans GB" w:hAnsi="Hiragino Sans GB" w:eastAsia="Hiragino Sans GB" w:cs="Hiragino Sans GB"/>
          <w:b w:val="0"/>
          <w:color w:val="1E1E1E"/>
          <w:sz w:val="22"/>
          <w:lang w:val="zh-CN" w:eastAsia="zh-CN"/>
        </w:rPr>
        <w:br/>
        <w:t>采用相同逻辑，呈现其在医疗、康复、日常交互和消费场景中的发展情况。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Hiragino Sans GB" w:hAnsi="Hiragino Sans GB" w:eastAsia="Hiragino Sans GB" w:cs="Hiragino Sans GB"/>
          <w:b/>
          <w:color w:val="1F4D78"/>
          <w:sz w:val="22"/>
          <w:lang w:val="zh-CN" w:eastAsia="zh-CN"/>
        </w:rPr>
        <w:t>两类脑机接口系统的外设能力与发展格局</w:t>
      </w:r>
      <w:r>
        <w:rPr>
          <w:rFonts w:ascii="Hiragino Sans GB" w:hAnsi="Hiragino Sans GB" w:eastAsia="Hiragino Sans GB" w:cs="Hiragino Sans GB"/>
          <w:b w:val="0"/>
          <w:color w:val="1E1E1E"/>
          <w:sz w:val="22"/>
          <w:lang w:val="zh-CN" w:eastAsia="zh-CN"/>
        </w:rPr>
        <w:br/>
        <w:t>横向总结功能范围、技术成熟度、实际使用程度和主要限制。后续可根据正文重复程度，决定保留为独立总结或压缩为结尾段。</w:t>
      </w:r>
    </w:p>
    <w:p>
      <w:pPr>
        <w:pStyle w:val="Heading1"/>
      </w:pPr>
      <w:r>
        <w:t>二、总引部分提纲</w:t>
      </w:r>
    </w:p>
    <w:p>
      <w:pPr>
        <w:spacing w:after="200"/>
      </w:pPr>
      <w:r>
        <w:rPr>
          <w:rFonts w:ascii="Hiragino Sans GB" w:hAnsi="Hiragino Sans GB" w:eastAsia="Hiragino Sans GB" w:cs="Hiragino Sans GB"/>
          <w:b/>
          <w:color w:val="1F4D78"/>
          <w:sz w:val="21"/>
          <w:lang w:val="zh-CN" w:eastAsia="zh-CN"/>
        </w:rPr>
        <w:t>写作安排：</w:t>
      </w:r>
      <w:r>
        <w:rPr>
          <w:rFonts w:ascii="Hiragino Sans GB" w:hAnsi="Hiragino Sans GB" w:eastAsia="Hiragino Sans GB" w:cs="Hiragino Sans GB"/>
          <w:b w:val="0"/>
          <w:color w:val="2D2D2D"/>
          <w:sz w:val="21"/>
          <w:lang w:val="zh-CN" w:eastAsia="zh-CN"/>
        </w:rPr>
        <w:t>先保留结构，待侵入式与非侵入式两个主体章节完成后，根据实际证据和结论撰写正文。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Hiragino Sans GB" w:hAnsi="Hiragino Sans GB" w:eastAsia="Hiragino Sans GB" w:cs="Hiragino Sans GB"/>
          <w:b/>
          <w:color w:val="1F4D78"/>
          <w:sz w:val="22"/>
          <w:lang w:val="zh-CN" w:eastAsia="zh-CN"/>
        </w:rPr>
        <w:t>本章讨论什么</w:t>
      </w:r>
      <w:r>
        <w:rPr>
          <w:rFonts w:ascii="Hiragino Sans GB" w:hAnsi="Hiragino Sans GB" w:eastAsia="Hiragino Sans GB" w:cs="Hiragino Sans GB"/>
          <w:b w:val="0"/>
          <w:color w:val="1E1E1E"/>
          <w:sz w:val="22"/>
          <w:lang w:val="zh-CN" w:eastAsia="zh-CN"/>
        </w:rPr>
        <w:br/>
        <w:t>用一至两句话交代研究对象，以及侵入式与非侵入式两条主线。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Hiragino Sans GB" w:hAnsi="Hiragino Sans GB" w:eastAsia="Hiragino Sans GB" w:cs="Hiragino Sans GB"/>
          <w:b/>
          <w:color w:val="1F4D78"/>
          <w:sz w:val="22"/>
          <w:lang w:val="zh-CN" w:eastAsia="zh-CN"/>
        </w:rPr>
        <w:t>外设为什么重要</w:t>
      </w:r>
      <w:r>
        <w:rPr>
          <w:rFonts w:ascii="Hiragino Sans GB" w:hAnsi="Hiragino Sans GB" w:eastAsia="Hiragino Sans GB" w:cs="Hiragino Sans GB"/>
          <w:b w:val="0"/>
          <w:color w:val="1E1E1E"/>
          <w:sz w:val="22"/>
          <w:lang w:val="zh-CN" w:eastAsia="zh-CN"/>
        </w:rPr>
        <w:br/>
        <w:t>说明神经信号的读取和写入需要通过外设转化为治疗、功能恢复、交互或增强效果。篇幅保持简短，只建立必要性。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Hiragino Sans GB" w:hAnsi="Hiragino Sans GB" w:eastAsia="Hiragino Sans GB" w:cs="Hiragino Sans GB"/>
          <w:b/>
          <w:color w:val="1F4D78"/>
          <w:sz w:val="22"/>
          <w:lang w:val="zh-CN" w:eastAsia="zh-CN"/>
        </w:rPr>
        <w:t>外设是什么、范围到哪里</w:t>
      </w:r>
      <w:r>
        <w:rPr>
          <w:rFonts w:ascii="Hiragino Sans GB" w:hAnsi="Hiragino Sans GB" w:eastAsia="Hiragino Sans GB" w:cs="Hiragino Sans GB"/>
          <w:b w:val="0"/>
          <w:color w:val="1E1E1E"/>
          <w:sz w:val="22"/>
          <w:lang w:val="zh-CN" w:eastAsia="zh-CN"/>
        </w:rPr>
        <w:br/>
        <w:t>给出工作定义，说明纳入与排除边界。暂定核心限定为：承担功能执行或交互反馈。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Hiragino Sans GB" w:hAnsi="Hiragino Sans GB" w:eastAsia="Hiragino Sans GB" w:cs="Hiragino Sans GB"/>
          <w:b/>
          <w:color w:val="1F4D78"/>
          <w:sz w:val="22"/>
          <w:lang w:val="zh-CN" w:eastAsia="zh-CN"/>
        </w:rPr>
        <w:t>外设主要包括什么</w:t>
      </w:r>
      <w:r>
        <w:rPr>
          <w:rFonts w:ascii="Hiragino Sans GB" w:hAnsi="Hiragino Sans GB" w:eastAsia="Hiragino Sans GB" w:cs="Hiragino Sans GB"/>
          <w:b w:val="0"/>
          <w:color w:val="1E1E1E"/>
          <w:sz w:val="22"/>
          <w:lang w:val="zh-CN" w:eastAsia="zh-CN"/>
        </w:rPr>
        <w:br/>
        <w:t>高度概括侵入式与非侵入式脑机接口系统涉及的主要外设类型。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Hiragino Sans GB" w:hAnsi="Hiragino Sans GB" w:eastAsia="Hiragino Sans GB" w:cs="Hiragino Sans GB"/>
          <w:b/>
          <w:color w:val="1F4D78"/>
          <w:sz w:val="22"/>
          <w:lang w:val="zh-CN" w:eastAsia="zh-CN"/>
        </w:rPr>
        <w:t>领域总体发展到什么阶段</w:t>
      </w:r>
      <w:r>
        <w:rPr>
          <w:rFonts w:ascii="Hiragino Sans GB" w:hAnsi="Hiragino Sans GB" w:eastAsia="Hiragino Sans GB" w:cs="Hiragino Sans GB"/>
          <w:b w:val="0"/>
          <w:color w:val="1E1E1E"/>
          <w:sz w:val="22"/>
          <w:lang w:val="zh-CN" w:eastAsia="zh-CN"/>
        </w:rPr>
        <w:br/>
        <w:t>只写经过后文证据支持的总体判断，并自然引出两个主体章节。</w:t>
      </w:r>
    </w:p>
    <w:p>
      <w:pPr>
        <w:pStyle w:val="Heading1"/>
      </w:pPr>
      <w:r>
        <w:t>三、侵入式脑机接口系统中的外设：功能提纲</w:t>
      </w:r>
    </w:p>
    <w:p>
      <w:pPr>
        <w:spacing w:after="200"/>
      </w:pPr>
      <w:r>
        <w:rPr>
          <w:rFonts w:ascii="Hiragino Sans GB" w:hAnsi="Hiragino Sans GB" w:eastAsia="Hiragino Sans GB" w:cs="Hiragino Sans GB"/>
          <w:b/>
          <w:sz w:val="21"/>
        </w:rPr>
        <w:t>分类原则：</w:t>
      </w:r>
      <w:r>
        <w:rPr>
          <w:rFonts w:ascii="Hiragino Sans GB" w:hAnsi="Hiragino Sans GB" w:eastAsia="Hiragino Sans GB" w:cs="Hiragino Sans GB"/>
          <w:b w:val="0"/>
          <w:sz w:val="21"/>
        </w:rPr>
        <w:t>按照系统的最终功能，将侵入式脑机接口外设划分为信息输出、动作输出与感觉输入三类。后续检索、案例选择和行文均以这三个功能需求为基础。</w:t>
      </w:r>
    </w:p>
    <w:p>
      <w:pPr>
        <w:keepLines/>
        <w:spacing w:after="80" w:line="300" w:lineRule="auto"/>
        <w:numPr>
          <w:ilvl w:val="0"/>
          <w:numId w:val="20"/>
        </w:numPr>
      </w:pPr>
      <w:r>
        <w:rPr>
          <w:rFonts w:ascii="Hiragino Sans GB" w:hAnsi="Hiragino Sans GB" w:eastAsia="Hiragino Sans GB" w:cs="Hiragino Sans GB"/>
          <w:b/>
          <w:sz w:val="22"/>
        </w:rPr>
        <w:t>语言与通信输出</w:t>
      </w:r>
      <w:r>
        <w:rPr>
          <w:rFonts w:ascii="Hiragino Sans GB" w:hAnsi="Hiragino Sans GB" w:eastAsia="Hiragino Sans GB" w:cs="Hiragino Sans GB"/>
          <w:b w:val="0"/>
          <w:sz w:val="22"/>
        </w:rPr>
        <w:br/>
        <w:t>将神经活动转化为文字、语音和其他可理解的信息。主要涉及拼写终端、显示设备、语音合成器和辅助沟通终端。</w:t>
      </w:r>
    </w:p>
    <w:p>
      <w:pPr>
        <w:keepLines/>
        <w:spacing w:after="80" w:line="300" w:lineRule="auto"/>
        <w:numPr>
          <w:ilvl w:val="0"/>
          <w:numId w:val="20"/>
        </w:numPr>
      </w:pPr>
      <w:r>
        <w:rPr>
          <w:rFonts w:ascii="Hiragino Sans GB" w:hAnsi="Hiragino Sans GB" w:eastAsia="Hiragino Sans GB" w:cs="Hiragino Sans GB"/>
          <w:b/>
          <w:sz w:val="22"/>
        </w:rPr>
        <w:t>物理动作执行与运动功能恢复</w:t>
      </w:r>
      <w:r>
        <w:rPr>
          <w:rFonts w:ascii="Hiragino Sans GB" w:hAnsi="Hiragino Sans GB" w:eastAsia="Hiragino Sans GB" w:cs="Hiragino Sans GB"/>
          <w:b w:val="0"/>
          <w:sz w:val="22"/>
        </w:rPr>
        <w:br/>
        <w:t>通过外部执行设备完成移动、抓取、肢体运动和运动功能训练。主要涉及机械臂、假肢、外骨骼、功能性电刺激设备和康复机器人。</w:t>
      </w:r>
    </w:p>
    <w:p>
      <w:pPr>
        <w:keepLines/>
        <w:spacing w:after="80" w:line="300" w:lineRule="auto"/>
        <w:numPr>
          <w:ilvl w:val="0"/>
          <w:numId w:val="20"/>
        </w:numPr>
      </w:pPr>
      <w:r>
        <w:rPr>
          <w:rFonts w:ascii="Hiragino Sans GB" w:hAnsi="Hiragino Sans GB" w:eastAsia="Hiragino Sans GB" w:cs="Hiragino Sans GB"/>
          <w:b/>
          <w:sz w:val="22"/>
        </w:rPr>
        <w:t>人工感觉输入与感觉反馈</w:t>
      </w:r>
      <w:r>
        <w:rPr>
          <w:rFonts w:ascii="Hiragino Sans GB" w:hAnsi="Hiragino Sans GB" w:eastAsia="Hiragino Sans GB" w:cs="Hiragino Sans GB"/>
          <w:b w:val="0"/>
          <w:sz w:val="22"/>
        </w:rPr>
        <w:br/>
        <w:t>获取外部感觉信息，并通过神经刺激向使用者提供视觉、听觉、触觉或本体感觉反馈。主要涉及摄像头、麦克风、压力与触觉传感器，以及连接感觉刺激系统的反馈模块。</w:t>
      </w:r>
    </w:p>
    <w:p>
      <w:pPr>
        <w:pStyle w:val="Heading2"/>
      </w:pPr>
      <w:r>
        <w:t>统一展开框架</w:t>
      </w:r>
    </w:p>
    <w:p>
      <w:pPr>
        <w:spacing w:after="80"/>
        <w:numPr>
          <w:ilvl w:val="0"/>
          <w:numId w:val="21"/>
        </w:numPr>
      </w:pPr>
      <w:r>
        <w:rPr>
          <w:rFonts w:ascii="Hiragino Sans GB" w:hAnsi="Hiragino Sans GB" w:eastAsia="Hiragino Sans GB" w:cs="Hiragino Sans GB"/>
          <w:b w:val="0"/>
          <w:sz w:val="22"/>
        </w:rPr>
        <w:t>功能目标与需求</w:t>
      </w:r>
    </w:p>
    <w:p>
      <w:pPr>
        <w:spacing w:after="80"/>
        <w:numPr>
          <w:ilvl w:val="0"/>
          <w:numId w:val="21"/>
        </w:numPr>
      </w:pPr>
      <w:r>
        <w:rPr>
          <w:rFonts w:ascii="Hiragino Sans GB" w:hAnsi="Hiragino Sans GB" w:eastAsia="Hiragino Sans GB" w:cs="Hiragino Sans GB"/>
          <w:b w:val="0"/>
          <w:sz w:val="22"/>
        </w:rPr>
        <w:t>主要外设类型</w:t>
      </w:r>
    </w:p>
    <w:p>
      <w:pPr>
        <w:spacing w:after="80"/>
        <w:numPr>
          <w:ilvl w:val="0"/>
          <w:numId w:val="21"/>
        </w:numPr>
      </w:pPr>
      <w:r>
        <w:rPr>
          <w:rFonts w:ascii="Hiragino Sans GB" w:hAnsi="Hiragino Sans GB" w:eastAsia="Hiragino Sans GB" w:cs="Hiragino Sans GB"/>
          <w:b w:val="0"/>
          <w:sz w:val="22"/>
        </w:rPr>
        <w:t>与侵入式神经接口的功能关系</w:t>
      </w:r>
    </w:p>
    <w:p>
      <w:pPr>
        <w:spacing w:after="80"/>
        <w:numPr>
          <w:ilvl w:val="0"/>
          <w:numId w:val="21"/>
        </w:numPr>
      </w:pPr>
      <w:r>
        <w:rPr>
          <w:rFonts w:ascii="Hiragino Sans GB" w:hAnsi="Hiragino Sans GB" w:eastAsia="Hiragino Sans GB" w:cs="Hiragino Sans GB"/>
          <w:b w:val="0"/>
          <w:sz w:val="22"/>
        </w:rPr>
        <w:t>代表性研究系统或产品</w:t>
      </w:r>
    </w:p>
    <w:p>
      <w:pPr>
        <w:spacing w:after="80"/>
        <w:numPr>
          <w:ilvl w:val="0"/>
          <w:numId w:val="21"/>
        </w:numPr>
      </w:pPr>
      <w:r>
        <w:rPr>
          <w:rFonts w:ascii="Hiragino Sans GB" w:hAnsi="Hiragino Sans GB" w:eastAsia="Hiragino Sans GB" w:cs="Hiragino Sans GB"/>
          <w:b w:val="0"/>
          <w:sz w:val="22"/>
        </w:rPr>
        <w:t>已实现能力、证据水平与成熟程度</w:t>
      </w:r>
    </w:p>
    <w:p>
      <w:pPr>
        <w:pStyle w:val="Heading1"/>
      </w:pPr>
      <w:r>
        <w:t>四、非侵入式脑机接口系统中的外设：功能提纲</w:t>
      </w:r>
    </w:p>
    <w:p>
      <w:r>
        <w:t>分类原则：按照系统的最终功能，将非侵入式脑机接口外设划分为数字信息操作、身体动作辅助与训练、脑状态反馈与系统适配三类。</w:t>
      </w:r>
    </w:p>
    <w:p>
      <w:pPr>
        <w:pStyle w:val="Heading2"/>
      </w:pPr>
      <w:r>
        <w:t>（一）信息选择与数字访问</w:t>
      </w:r>
    </w:p>
    <w:p>
      <w:r>
        <w:t>通过离散指令完成文字选择、菜单操作和数字设备访问。主要外设包括拼写终端、计算机、平板、辅助沟通设备和数字控制界面。</w:t>
      </w:r>
    </w:p>
    <w:p>
      <w:pPr>
        <w:pStyle w:val="Heading2"/>
      </w:pPr>
      <w:r>
        <w:t>（二）运动辅助与康复训练</w:t>
      </w:r>
    </w:p>
    <w:p>
      <w:r>
        <w:t>将运动意图转化为辅助动作，或提供与运动训练同步的反馈。主要外设包括轮椅、外骨骼、功能性电刺激设备、康复机器人、机械臂和矫形设备。</w:t>
      </w:r>
    </w:p>
    <w:p>
      <w:pPr>
        <w:pStyle w:val="Heading2"/>
      </w:pPr>
      <w:r>
        <w:t>（三）脑状态反馈与自适应交互</w:t>
      </w:r>
    </w:p>
    <w:p>
      <w:r>
        <w:t>根据注意、疲劳、工作负荷、情绪或脑活动变化提供反馈，或自动调整系统。主要外设包括神经反馈终端、VR/AR设备、游戏系统、自适应车辆、工作站和训练环境。</w:t>
      </w:r>
    </w:p>
    <w:p>
      <w:pPr>
        <w:pStyle w:val="Heading2"/>
      </w:pPr>
      <w:r>
        <w:t>分类边界</w:t>
      </w:r>
    </w:p>
    <w:p>
      <w:r>
        <w:t>三类功能分别对应操作数字信息、产生或训练身体动作、反馈脑状态或调整系统。单纯记录注意、睡眠、疲劳或情绪属于监测；只有监测结果触发实时反馈、设备控制或系统调整时，才纳入脑机接口外设。</w:t>
      </w:r>
    </w:p>
    <w:p>
      <w:pPr>
        <w:pStyle w:val="Heading2"/>
      </w:pPr>
      <w:r>
        <w:t>与侵入式章节的主要差别</w:t>
      </w:r>
    </w:p>
    <w:p>
      <w:r>
        <w:t>侵入式系统更集中于连续语言输出、高自由度动作执行和直接神经感觉反馈；非侵入式系统更常见于字符与指令选择、低维设备控制、康复训练，以及认知状态驱动的反馈和自适应交互。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  <w:abstractNum w:abstractNumId="11">
    <w:nsid w:val="B1C10001"/>
    <w:multiLevelType w:val="singleLevel"/>
    <w:tmpl w:val="C0DE0001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4">
    <w:abstractNumId w:val="11"/>
  </w:num>
  <w:abstractNum w:abstractNumId="12">
    <w:nsid w:val="B1C10002"/>
    <w:multiLevelType w:val="singleLevel"/>
    <w:tmpl w:val="C0DE0002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5">
    <w:abstractNumId w:val="12"/>
  </w:num>
  <w:abstractNum w:abstractNumId="13">
    <w:nsid w:val="B1C10003"/>
    <w:multiLevelType w:val="singleLevel"/>
    <w:tmpl w:val="C0DE0003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6">
    <w:abstractNumId w:val="13"/>
  </w:num>
  <w:abstractNum w:abstractNumId="14">
    <w:nsid w:val="B1C10004"/>
    <w:multiLevelType w:val="singleLevel"/>
    <w:tmpl w:val="C0DE0004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7">
    <w:abstractNumId w:val="14"/>
  </w:num>
  <w:abstractNum w:abstractNumId="15">
    <w:nsid w:val="B1C10001"/>
    <w:multiLevelType w:val="singleLevel"/>
    <w:tmpl w:val="C0DE0001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8">
    <w:abstractNumId w:val="15"/>
    <w:lvlOverride w:ilvl="0">
      <w:startOverride w:val="1"/>
    </w:lvlOverride>
  </w:num>
  <w:abstractNum w:abstractNumId="16">
    <w:nsid w:val="B1C10002"/>
    <w:multiLevelType w:val="singleLevel"/>
    <w:tmpl w:val="C0DE0002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9">
    <w:abstractNumId w:val="16"/>
    <w:lvlOverride w:ilvl="0">
      <w:startOverride w:val="1"/>
    </w:lvlOverride>
  </w:num>
  <w:abstractNum w:abstractNumId="17">
    <w:nsid w:val="B1C10003"/>
    <w:multiLevelType w:val="singleLevel"/>
    <w:tmpl w:val="C0DE0003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0">
    <w:abstractNumId w:val="17"/>
    <w:lvlOverride w:ilvl="0">
      <w:startOverride w:val="1"/>
    </w:lvlOverride>
  </w:num>
  <w:abstractNum w:abstractNumId="18">
    <w:nsid w:val="B1C10004"/>
    <w:multiLevelType w:val="singleLevel"/>
    <w:tmpl w:val="C0DE0004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1">
    <w:abstractNumId w:val="1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Hiragino Sans GB" w:hAnsi="Hiragino Sans GB" w:eastAsia="Hiragino Sans GB" w:cs="Hiragino Sans GB"/>
      <w:b w:val="0"/>
      <w:color w:val="1E1E1E"/>
      <w:sz w:val="22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2E74B5"/>
      <w:sz w:val="32"/>
      <w:szCs w:val="28"/>
      <w:lang w:val="zh-CN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2E74B5"/>
      <w:sz w:val="26"/>
      <w:szCs w:val="26"/>
      <w:lang w:val="zh-CN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1F4D78"/>
      <w:sz w:val="24"/>
      <w:lang w:val="zh-CN"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