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SuperSenseDoctor：面向长期健康追踪的多模态无接触智能代理</w:t>
      </w:r>
    </w:p>
    <w:p>
      <w:pPr>
        <w:pStyle w:val="Heading1"/>
      </w:pPr>
      <w:r>
        <w:t>目录</w:t>
      </w:r>
    </w:p>
    <w:p>
      <w:pPr>
        <w:pStyle w:val="Heading1"/>
      </w:pPr>
      <w:r>
        <w:t>1. 项目概述</w:t>
      </w:r>
    </w:p>
    <w:p>
      <w:r>
        <w:t>SuperSenseDoctor 是一个面向居家养老的多模态无接触智能健康监护系统。该系统在家庭边缘设备上，利用 WiFi 波束成形反馈信息（BFI）、毫米波雷达和红外热阵列来估计呼吸率、心率、体表温度和活动状态。结构化状态随后传递至事件驱动的诊断代理（Diagnosis Agent），进行个性化判断。</w:t>
      </w:r>
    </w:p>
    <w:p>
      <w:r>
        <w:t>与传统可穿戴设备不同，SuperSenseDoctor 无需老年人佩戴、充电或主动配合设备使用。与基于摄像头的系统不同，SuperSenseDoctor 不采集可识别身份的视觉图像。其核心理念是“守护而不凝视”。系统输出并非简单的阈值报警，而是一次可解释、可审计的“查房”：它首先检查居住者自身的历史基线，然后验证当前多模态信号的可靠性，最后决定是否需要打扰家属。</w:t>
      </w:r>
    </w:p>
    <w:p>
      <w:pPr>
        <w:pStyle w:val="Heading2"/>
      </w:pPr>
      <w:r>
        <w:t>1.1 目标场景</w:t>
      </w:r>
    </w:p>
    <w:p>
      <w:r>
        <w:t>独居或半独立生活老年人的夜间照护：重点关注睡眠期间呼吸异常、跌倒、发热、心脏突停及相关事件。</w:t>
      </w:r>
    </w:p>
    <w:p>
      <w:r>
        <w:t>图 1：跌倒  图 2：心脏突停  图 3：休息</w:t>
      </w:r>
    </w:p>
    <w:p>
      <w:pPr>
        <w:pStyle w:val="Heading2"/>
      </w:pPr>
      <w:r>
        <w:t>1.2 核心设计目标</w:t>
      </w:r>
    </w:p>
    <w:p>
      <w:r>
        <w:t>图 4：SuperSenseDoctor 核心设计目标</w:t>
      </w:r>
    </w:p>
    <w:p>
      <w:pPr>
        <w:pStyle w:val="Heading2"/>
      </w:pPr>
      <w:r>
        <w:t>1.3 研究与工程定位</w:t>
      </w:r>
    </w:p>
    <w:p>
      <w:r>
        <w:t>在研究层面，本项目的核心并非单一传感算法，而是一个以感知为基础的代理循环（agentic loop）：底层感知流触发事件，事件激活带有工具的 LLM 代理，代理自主检索个人历史记录、验证多模态置信度、调用融合仲裁机制，并执行分级干预。在工程层面，现有的 WiFi、毫米波、红外和活动识别管道得以保留，本次重构主要改变了代理层的触发机制、工具封装和审计日志格式。</w:t>
      </w:r>
    </w:p>
    <w:p>
      <w:pPr>
        <w:pStyle w:val="Heading1"/>
      </w:pPr>
      <w:r>
        <w:t>2. 总体系统架构</w:t>
      </w:r>
    </w:p>
    <w:p>
      <w:r>
        <w:t>多模态感知层从 WiFi BFI、毫米波雷达和红外热阵列构建统一的多维健康状态。多代理协作层使用护士代理（Nurse Agent）、诊断代理（Diagnosis Agent）和报告代理（Report Agent）完成持续监测、事件驱动诊断、报告生成和长期追踪。底层算法持续运行并输出结构化状态，规则引擎提供秒级反射弧，LLM 仅在必要事件出现后才介入，完成高层证据整合和分级决策。</w:t>
      </w:r>
    </w:p>
    <w:p>
      <w:r>
        <w:t>图 5：SuperSenseDoctor 端到端系统架构</w:t>
      </w:r>
    </w:p>
    <w:p>
      <w:pPr>
        <w:pStyle w:val="Heading2"/>
      </w:pPr>
      <w:r>
        <w:t>2.1 端到端数据流：无接触感知 → 长期追踪</w:t>
      </w:r>
    </w:p>
    <w:p>
      <w:r>
        <w:t>1. WiFi、毫米波和红外管道在边缘设备上持续运行，每个时间窗口输出标准化的数据段。</w:t>
      </w:r>
    </w:p>
    <w:p>
      <w:r>
        <w:t>2. SensorHub 将各数据段组装为统一的状态对象 S_t，并写入本地 SQLite 数据库。</w:t>
      </w:r>
    </w:p>
    <w:p>
      <w:r>
        <w:t>3. 护士代理规则引擎检查边界越界、持续时间、置信度衰减、NLOS 和跨模态偏差；正常状态不予打扰，异常状态发布事件 E_t。</w:t>
      </w:r>
    </w:p>
    <w:p>
      <w:r>
        <w:t>4. 值班诊断代理接收事件，进入 ReAct 工具循环：查询历史记录、读取感知状态、咨询融合模块、写入事件记录、执行分级操作。</w:t>
      </w:r>
    </w:p>
    <w:p>
      <w:r>
        <w:t>5. 输出层展示当前状态和医生工作站；家属可提出自然语言问题（例如“昨晚情况如何？”），报告代理根据事件记录生成周报。</w:t>
      </w:r>
    </w:p>
    <w:p>
      <w:pPr>
        <w:pStyle w:val="Heading2"/>
      </w:pPr>
      <w:r>
        <w:t>2.2 结构化状态对象与事件对象</w:t>
      </w:r>
    </w:p>
    <w:p>
      <w:r>
        <w:t>系统不直接将原始信号暴露给 LLM，而是首先将其转换为可审计的结构化对象。LLM 可以看到估计值、置信度分数、故障标志、历史摘要和规则触发原因。</w:t>
      </w:r>
    </w:p>
    <w:p>
      <w:pPr>
        <w:pStyle w:val="Heading1"/>
      </w:pPr>
      <w:r>
        <w:t>3. 多模态感知层</w:t>
      </w:r>
    </w:p>
    <w:p>
      <w:r>
        <w:t>多模态感知层将三种无接触模态集成到统一的感知管道中。</w:t>
      </w:r>
    </w:p>
    <w:p>
      <w:pPr>
        <w:pStyle w:val="Heading2"/>
      </w:pPr>
      <w:r>
        <w:t>3.1 感知模态与任务</w:t>
      </w:r>
    </w:p>
    <w:p>
      <w:pPr>
        <w:pStyle w:val="Heading2"/>
      </w:pPr>
      <w:r>
        <w:t>3.2 呼吸与心率估计</w:t>
      </w:r>
    </w:p>
    <w:p>
      <w:pPr>
        <w:pStyle w:val="Heading3"/>
      </w:pPr>
      <w:r>
        <w:t>3.2.1 WiFi BFI 管道</w:t>
      </w:r>
    </w:p>
    <w:p>
      <w:r>
        <w:t>WiFi 管道通过 SSH 管道从 OpenWRT 嗅探器实时获取原始 BFM 矩阵流。其核心思路是利用 BFM 比值消除时变缩放因子，然后通过动态子载波选择、滤波、分解和频谱估计来获取生命体征。</w:t>
      </w:r>
    </w:p>
    <w:p>
      <w:r>
        <w:t>图 6：WiFi BFI 管道</w:t>
      </w:r>
    </w:p>
    <w:p>
      <w:pPr>
        <w:pStyle w:val="Heading3"/>
      </w:pPr>
      <w:r>
        <w:t>3.2.2 毫米波管道</w:t>
      </w:r>
    </w:p>
    <w:p>
      <w:r>
        <w:t>毫米波管道使用 TI AWR1843 输出的点云帧（x, y, z, v, I）。与 WiFi 相比，它对近场微动更为敏感，但更容易受到遮挡和非视距（NLOS）条件的影响。因此，nlos_flag 是下游融合的重要依据。</w:t>
      </w:r>
    </w:p>
    <w:p>
      <w:r>
        <w:t>图 7：毫米波管道</w:t>
      </w:r>
    </w:p>
    <w:p>
      <w:pPr>
        <w:pStyle w:val="Heading2"/>
      </w:pPr>
      <w:r>
        <w:t>3.3 红外热阵列：体温检测</w:t>
      </w:r>
    </w:p>
    <w:p>
      <w:r>
        <w:t>红外管道使用 MLX90640 32×24 热阵列。为降低单像素噪声，系统将 32×24 矩阵划分为 8×8 区域并计算区域均值，输出峰值体表温度 T_max 和区域热图摘要。</w:t>
      </w:r>
    </w:p>
    <w:p>
      <w:r>
        <w:t>图 8：红外热阵列管道</w:t>
      </w:r>
    </w:p>
    <w:p>
      <w:pPr>
        <w:pStyle w:val="Heading2"/>
      </w:pPr>
      <w:r>
        <w:t>3.4 活动识别：BFI + 毫米波双模态识别</w:t>
      </w:r>
    </w:p>
    <w:p>
      <w:r>
        <w:t>活动分类用于理解生理变化的上下文。相同的呼吸率升高，如果伴随翻身、起床或跌倒，其含义可能完全不同。两个分支分工明确：WiFi BFI 侧识别 20 类细粒度日常活动（BeamSense, Computer Networks 2025），而毫米波侧使用基于几何特征的规则分类器（无需训练数据）识别四种空间姿态（站立、坐姿、躺卧和跌倒）。</w:t>
      </w:r>
    </w:p>
    <w:p>
      <w:r>
        <w:t>图 9：双模态活动识别管道</w:t>
      </w:r>
    </w:p>
    <w:p>
      <w:pPr>
        <w:pStyle w:val="Heading1"/>
      </w:pPr>
      <w:r>
        <w:t>4. 多代理协作层</w:t>
      </w:r>
    </w:p>
    <w:p>
      <w:r>
        <w:t>多代理协作层是从“连续数值估计”到“长期健康追踪”的协作循环。它包括护士代理非 LLM 规则引擎、事件总线、诊断代理可调用的三步链式仲裁工具，以及报告代理的周报和查询生成模块。</w:t>
      </w:r>
    </w:p>
    <w:p>
      <w:pPr>
        <w:pStyle w:val="Heading2"/>
      </w:pPr>
      <w:r>
        <w:t>4.1 护士代理：非 LLM 规则引擎与秒级反射弧</w:t>
      </w:r>
    </w:p>
    <w:p>
      <w:r>
        <w:t>护士代理并非 LLM，而是一组确定性规则。其原则是：正常状态保持静默，轻微异常先行观察，高风险组合直接触发反射弧，避免将所有推理压力置于 LLM 之上。</w:t>
      </w:r>
    </w:p>
    <w:p>
      <w:r>
        <w:t>图 10：护士代理规则引擎</w:t>
      </w:r>
    </w:p>
    <w:p>
      <w:pPr>
        <w:pStyle w:val="Heading2"/>
      </w:pPr>
      <w:r>
        <w:t>4.2 诊断代理：跨模态融合仲裁</w:t>
      </w:r>
    </w:p>
    <w:p>
      <w:r>
        <w:t>三步链式仲裁是一个诊断代理可调用的“咨询工具”，用于将多模态估计转化为可解释的融合状态。</w:t>
      </w:r>
    </w:p>
    <w:p>
      <w:r>
        <w:t>1. 第一步 - 置信度评估：检查每个分支的置信度是否过低，并检查 nlos_flag 是否指示毫米波处于已知失效场景。</w:t>
      </w:r>
    </w:p>
    <w:p>
      <w:r>
        <w:t>2. 第二步 - 一致性检查：计算跨模态差异 Δf = |f_wifi - f_mm|；检查两个估计值是否偏离历史趋势；检查静息范围和相邻时段变化是否在生理合理范围内。</w:t>
      </w:r>
    </w:p>
    <w:p>
      <w:r>
        <w:t>3. 第三步 - 仲裁：若 NLOS 为真，WiFi 主导；若两个分支均可靠且无冲突，使用置信度加权融合；若存在冲突且仅一个分支可靠，输出可靠分支；若两分支均不可靠，则输出空值并将事件升级为质量事件。</w:t>
      </w:r>
    </w:p>
    <w:p>
      <w:r>
        <w:t>仲裁优先级：跌倒告警 &gt; NLOS 切换 &gt; 置信度仲裁 &gt; 语义合并</w:t>
      </w:r>
    </w:p>
    <w:p>
      <w:pPr>
        <w:pStyle w:val="Heading2"/>
      </w:pPr>
      <w:r>
        <w:t>4.2.1 诊断代理工具箱</w:t>
      </w:r>
    </w:p>
    <w:p>
      <w:pPr>
        <w:pStyle w:val="Heading2"/>
      </w:pPr>
      <w:r>
        <w:t>4.2.2 诊断代理事件触发工具循环</w:t>
      </w:r>
    </w:p>
    <w:p>
      <w:pPr>
        <w:pStyle w:val="Heading1"/>
      </w:pPr>
      <w:r>
        <w:t>4.3 报告代理</w:t>
      </w:r>
    </w:p>
    <w:p>
      <w:r>
        <w:t>报告代理是 SuperSenseDoctor 系统中最终的通信和反馈模块。它接收来自诊断代理的结构化事件记录，并与存储在本地数据库中的周度趋势摘要进行整合。基于这些输入，它为家属、护理人员和临床医生生成清晰的自然语言健康报告。报告代理不仅列出异常事件，还能以可理解的方式解释呼吸、心率、活动、体温和干预历史的变化。它还能回答家属的实时查询，例如老年人是否睡得好、是否有发热风险或夜间是否出现异常活动。通过将多模态感知结果和代理决策转化为可读的摘要，报告代理闭环了持续监测与人文关怀之间的链路。它提高了透明度，支持长期健康追踪，并帮助护理人员在无需持续人工观察的情况下更早地响应潜在风险。</w:t>
      </w:r>
    </w:p>
    <w:p>
      <w:pPr>
        <w:pStyle w:val="Heading2"/>
      </w:pPr>
      <w:r>
        <w:t>4.4 分级行动策略</w:t>
      </w:r>
    </w:p>
    <w:p>
      <w:pPr>
        <w:pStyle w:val="Heading2"/>
      </w:pPr>
      <w:r>
        <w:t>4.5.5 可审计的事件记录与事件注释</w:t>
      </w:r>
    </w:p>
    <w:p>
      <w:r>
        <w:t>涉及诊断代理的每个事件都必须写入磁盘。日志无需保存 LLM 完整的私有推理链，但必须保留足够的可审计摘要：输入证据、调用了哪些工具、每个工具返回的关键事实、最终决策、行动级别和复查计划。</w:t>
      </w:r>
    </w:p>
    <w:p>
      <w:pPr>
        <w:pStyle w:val="Heading2"/>
      </w:pPr>
      <w:r>
        <w:t>4.5.6 事件驱动诊断示例</w:t>
      </w:r>
    </w:p>
    <w:p>
      <w:pPr>
        <w:pStyle w:val="Heading1"/>
      </w:pPr>
      <w:r>
        <w:t>5. 输出与人机交互</w:t>
      </w:r>
    </w:p>
    <w:p>
      <w:r>
        <w:t>输出层服务于三类用户：演示评审人员、家属/护理人员和项目开发者。核心原则是将复杂的信号处理结果转化为“医生工作站”中可理解的证据链。</w:t>
      </w:r>
    </w:p>
    <w:p>
      <w:r>
        <w:t>图 11：医生工作站输出界面</w:t>
      </w:r>
    </w:p>
    <w:p>
      <w:pPr>
        <w:pStyle w:val="Heading1"/>
      </w:pPr>
      <w:r>
        <w:t>6. 数据存储、隐私与授权扩展</w:t>
      </w:r>
    </w:p>
    <w:p>
      <w:r>
        <w:t>默认情况下，系统将感知数据、基线数据、事件记录和审计日志存储在家庭边缘设备本地。外部系统不直接检索原始数据；需要访问时，须先请求授权，然后按照摘要 → 事件记录 → 原始记录的粒度逐步获取数据。</w:t>
      </w:r>
    </w:p>
    <w:p>
      <w:pPr>
        <w:pStyle w:val="Heading2"/>
      </w:pPr>
      <w:r>
        <w:t>6.1 MCP 远景</w:t>
      </w:r>
    </w:p>
    <w:p>
      <w:r>
        <w:t>未来，SuperSenseDoctor 可作为本地家庭 MCP 服务器，将健康摘要、事件档案和原始记录封装为可通过授权调用的工具。在获得家属明确授权后，外部医疗代理可按从粗到细的粒度检索数据，每次访问均写入审计记录。当前阶段尚未实现完整的 MCP 服务器、FHIR 映射或 OAuth2 工作流；仅在演示末尾使用前端彩蛋展示这一方向。</w:t>
      </w:r>
    </w:p>
    <w:p>
      <w:r>
        <w:t>统一表述：内部对话查询接口已使用相同的检索工具；将其注册为 MCP 服务器仅是协议层面的封装。外部代理与我们自己的诊断代理共享同一个工具箱。</w:t>
      </w:r>
    </w:p>
    <w:p>
      <w:pPr>
        <w:pStyle w:val="Heading1"/>
      </w:pPr>
      <w:r>
        <w:t>摘要</w:t>
      </w:r>
    </w:p>
    <w:p>
      <w:r>
        <w:t>本文介绍 SuperSenseDoctor，一个面向居家老年人长期健康追踪的多模态无接触系统。通过融合 WiFi BFI、毫米波雷达和红外热感知，该系统实现了无需可穿戴设备的呼吸、心率、活动和体温估计。多代理协作架构协调了从无接触感知到纵向健康追踪的完整流程。</w:t>
      </w:r>
    </w:p>
    <w:p>
      <w:pPr>
        <w:pStyle w:val="Heading2"/>
      </w:pPr>
      <w:r>
        <w:t>表 1：感知模态与硬件配置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感知模态</w:t>
            </w:r>
          </w:p>
        </w:tc>
        <w:tc>
          <w:tcPr>
            <w:tcW w:type="dxa" w:w="1728"/>
          </w:tcPr>
          <w:p>
            <w:r>
              <w:t>硬件设备</w:t>
            </w:r>
          </w:p>
        </w:tc>
        <w:tc>
          <w:tcPr>
            <w:tcW w:type="dxa" w:w="1728"/>
          </w:tcPr>
          <w:p>
            <w:r>
              <w:t>有效范围</w:t>
            </w:r>
          </w:p>
        </w:tc>
        <w:tc>
          <w:tcPr>
            <w:tcW w:type="dxa" w:w="1728"/>
          </w:tcPr>
          <w:p>
            <w:r>
              <w:t>主要任务</w:t>
            </w:r>
          </w:p>
        </w:tc>
        <w:tc>
          <w:tcPr>
            <w:tcW w:type="dxa" w:w="1728"/>
          </w:tcPr>
          <w:p>
            <w:r>
              <w:t>设备信息</w:t>
            </w:r>
          </w:p>
        </w:tc>
      </w:tr>
      <w:tr>
        <w:tc>
          <w:tcPr>
            <w:tcW w:type="dxa" w:w="1728"/>
          </w:tcPr>
          <w:p>
            <w:r>
              <w:t>WiFi BFI</w:t>
            </w:r>
          </w:p>
        </w:tc>
        <w:tc>
          <w:tcPr>
            <w:tcW w:type="dxa" w:w="1728"/>
          </w:tcPr>
          <w:p>
            <w:r>
              <w:t>Netgear R7800 / OpenWRT 802.11ac</w:t>
            </w:r>
          </w:p>
        </w:tc>
        <w:tc>
          <w:tcPr>
            <w:tcW w:type="dxa" w:w="1728"/>
          </w:tcPr>
          <w:p>
            <w:r>
              <w:t>远距离</w:t>
            </w:r>
          </w:p>
        </w:tc>
        <w:tc>
          <w:tcPr>
            <w:tcW w:type="dxa" w:w="1728"/>
          </w:tcPr>
          <w:p>
            <w:r>
              <w:t>呼吸率、心率、活动识别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毫米波雷达</w:t>
            </w:r>
          </w:p>
        </w:tc>
        <w:tc>
          <w:tcPr>
            <w:tcW w:type="dxa" w:w="1728"/>
          </w:tcPr>
          <w:p>
            <w:r>
              <w:t>TI AWR1843</w:t>
            </w:r>
          </w:p>
        </w:tc>
        <w:tc>
          <w:tcPr>
            <w:tcW w:type="dxa" w:w="1728"/>
          </w:tcPr>
          <w:p>
            <w:r>
              <w:t>近距离</w:t>
            </w:r>
          </w:p>
        </w:tc>
        <w:tc>
          <w:tcPr>
            <w:tcW w:type="dxa" w:w="1728"/>
          </w:tcPr>
          <w:p>
            <w:r>
              <w:t>呼吸率、心率、活动识别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红外热阵列</w:t>
            </w:r>
          </w:p>
        </w:tc>
        <w:tc>
          <w:tcPr>
            <w:tcW w:type="dxa" w:w="1728"/>
          </w:tcPr>
          <w:p>
            <w:r>
              <w:t>MLX90640 32×24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体温检测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表 2：代理角色定义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实现方式</w:t>
            </w:r>
          </w:p>
        </w:tc>
        <w:tc>
          <w:tcPr>
            <w:tcW w:type="dxa" w:w="2160"/>
          </w:tcPr>
          <w:p>
            <w:r>
              <w:t>主要输入</w:t>
            </w:r>
          </w:p>
        </w:tc>
        <w:tc>
          <w:tcPr>
            <w:tcW w:type="dxa" w:w="2160"/>
          </w:tcPr>
          <w:p>
            <w:r>
              <w:t>主要输出</w:t>
            </w:r>
          </w:p>
        </w:tc>
      </w:tr>
      <w:tr>
        <w:tc>
          <w:tcPr>
            <w:tcW w:type="dxa" w:w="2160"/>
          </w:tcPr>
          <w:p>
            <w:r>
              <w:t>护士代理</w:t>
            </w:r>
          </w:p>
        </w:tc>
        <w:tc>
          <w:tcPr>
            <w:tcW w:type="dxa" w:w="2160"/>
          </w:tcPr>
          <w:p>
            <w:r>
              <w:t>非 LLM 规则引擎</w:t>
            </w:r>
          </w:p>
        </w:tc>
        <w:tc>
          <w:tcPr>
            <w:tcW w:type="dxa" w:w="2160"/>
          </w:tcPr>
          <w:p>
            <w:r>
              <w:t>S_t、置信度分数、NLOS、短历史窗口、规则表</w:t>
            </w:r>
          </w:p>
        </w:tc>
        <w:tc>
          <w:tcPr>
            <w:tcW w:type="dxa" w:w="2160"/>
          </w:tcPr>
          <w:p>
            <w:r>
              <w:t>事件 E_t、反射弧动作、质量标记</w:t>
            </w:r>
          </w:p>
        </w:tc>
      </w:tr>
      <w:tr>
        <w:tc>
          <w:tcPr>
            <w:tcW w:type="dxa" w:w="2160"/>
          </w:tcPr>
          <w:p>
            <w:r>
              <w:t>诊断代理</w:t>
            </w:r>
          </w:p>
        </w:tc>
        <w:tc>
          <w:tcPr>
            <w:tcW w:type="dxa" w:w="2160"/>
          </w:tcPr>
          <w:p>
            <w:r>
              <w:t>ReAct LLM 代理 + 工具函数</w:t>
            </w:r>
          </w:p>
        </w:tc>
        <w:tc>
          <w:tcPr>
            <w:tcW w:type="dxa" w:w="2160"/>
          </w:tcPr>
          <w:p>
            <w:r>
              <w:t>事件、当前状态、历史基线、咨询工具结果</w:t>
            </w:r>
          </w:p>
        </w:tc>
        <w:tc>
          <w:tcPr>
            <w:tcW w:type="dxa" w:w="2160"/>
          </w:tcPr>
          <w:p>
            <w:r>
              <w:t>分级决策、复查计划、事件记录、解释性文本</w:t>
            </w:r>
          </w:p>
        </w:tc>
      </w:tr>
      <w:tr>
        <w:tc>
          <w:tcPr>
            <w:tcW w:type="dxa" w:w="2160"/>
          </w:tcPr>
          <w:p>
            <w:r>
              <w:t>报告代理</w:t>
            </w:r>
          </w:p>
        </w:tc>
        <w:tc>
          <w:tcPr>
            <w:tcW w:type="dxa" w:w="2160"/>
          </w:tcPr>
          <w:p>
            <w:r>
              <w:t>周报/问答生成代理</w:t>
            </w:r>
          </w:p>
        </w:tc>
        <w:tc>
          <w:tcPr>
            <w:tcW w:type="dxa" w:w="2160"/>
          </w:tcPr>
          <w:p>
            <w:r>
              <w:t>事件记录、周度事件、趋势摘要、家属问题</w:t>
            </w:r>
          </w:p>
        </w:tc>
        <w:tc>
          <w:tcPr>
            <w:tcW w:type="dxa" w:w="2160"/>
          </w:tcPr>
          <w:p>
            <w:r>
              <w:t>自然语言周报和问答回复</w:t>
            </w:r>
          </w:p>
        </w:tc>
      </w:tr>
    </w:tbl>
    <w:p>
      <w:pPr>
        <w:pStyle w:val="Heading2"/>
      </w:pPr>
      <w:r>
        <w:t>表 3：诊断代理工具箱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工具名称</w:t>
            </w:r>
          </w:p>
        </w:tc>
        <w:tc>
          <w:tcPr>
            <w:tcW w:type="dxa" w:w="2160"/>
          </w:tcPr>
          <w:p>
            <w:r>
              <w:t>示例函数接口</w:t>
            </w:r>
          </w:p>
        </w:tc>
        <w:tc>
          <w:tcPr>
            <w:tcW w:type="dxa" w:w="2160"/>
          </w:tcPr>
          <w:p>
            <w:r>
              <w:t>返回内容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</w:tr>
      <w:tr>
        <w:tc>
          <w:tcPr>
            <w:tcW w:type="dxa" w:w="2160"/>
          </w:tcPr>
          <w:p>
            <w:r>
              <w:t>查询历史</w:t>
            </w:r>
          </w:p>
        </w:tc>
        <w:tc>
          <w:tcPr>
            <w:tcW w:type="dxa" w:w="2160"/>
          </w:tcPr>
          <w:p>
            <w:r>
              <w:t>query_history(居民ID, 指标, 时间范围, 时段)</w:t>
            </w:r>
          </w:p>
        </w:tc>
        <w:tc>
          <w:tcPr>
            <w:tcW w:type="dxa" w:w="2160"/>
          </w:tcPr>
          <w:p>
            <w:r>
              <w:t>个人基线、近期趋势、类似历史事件、既往决策</w:t>
            </w:r>
          </w:p>
        </w:tc>
        <w:tc>
          <w:tcPr>
            <w:tcW w:type="dxa" w:w="2160"/>
          </w:tcPr>
          <w:p>
            <w:r>
              <w:t>判断该值对该居民是否异常。</w:t>
            </w:r>
          </w:p>
        </w:tc>
      </w:tr>
      <w:tr>
        <w:tc>
          <w:tcPr>
            <w:tcW w:type="dxa" w:w="2160"/>
          </w:tcPr>
          <w:p>
            <w:r>
              <w:t>读取感知状态</w:t>
            </w:r>
          </w:p>
        </w:tc>
        <w:tc>
          <w:tcPr>
            <w:tcW w:type="dxa" w:w="2160"/>
          </w:tcPr>
          <w:p>
            <w:r>
              <w:t>read_sensing_state(时间窗, 模态)</w:t>
            </w:r>
          </w:p>
        </w:tc>
        <w:tc>
          <w:tcPr>
            <w:tcW w:type="dxa" w:w="2160"/>
          </w:tcPr>
          <w:p>
            <w:r>
              <w:t>当前多模态估计、置信度、NLOS、缺失模态、活动状态</w:t>
            </w:r>
          </w:p>
        </w:tc>
        <w:tc>
          <w:tcPr>
            <w:tcW w:type="dxa" w:w="2160"/>
          </w:tcPr>
          <w:p>
            <w:r>
              <w:t>判断当前读数是否可信。</w:t>
            </w:r>
          </w:p>
        </w:tc>
      </w:tr>
      <w:tr>
        <w:tc>
          <w:tcPr>
            <w:tcW w:type="dxa" w:w="2160"/>
          </w:tcPr>
          <w:p>
            <w:r>
              <w:t>咨询融合</w:t>
            </w:r>
          </w:p>
        </w:tc>
        <w:tc>
          <w:tcPr>
            <w:tcW w:type="dxa" w:w="2160"/>
          </w:tcPr>
          <w:p>
            <w:r>
              <w:t>consult_fusion(S_t, 基线)</w:t>
            </w:r>
          </w:p>
        </w:tc>
        <w:tc>
          <w:tcPr>
            <w:tcW w:type="dxa" w:w="2160"/>
          </w:tcPr>
          <w:p>
            <w:r>
              <w:t>置信度评估、一致性检查、最终融合值、自然语言推理依据</w:t>
            </w:r>
          </w:p>
        </w:tc>
        <w:tc>
          <w:tcPr>
            <w:tcW w:type="dxa" w:w="2160"/>
          </w:tcPr>
          <w:p>
            <w:r>
              <w:t>用于多信号冲突或需要正式仲裁时。</w:t>
            </w:r>
          </w:p>
        </w:tc>
      </w:tr>
      <w:tr>
        <w:tc>
          <w:tcPr>
            <w:tcW w:type="dxa" w:w="2160"/>
          </w:tcPr>
          <w:p>
            <w:r>
              <w:t>写入事件</w:t>
            </w:r>
          </w:p>
        </w:tc>
        <w:tc>
          <w:tcPr>
            <w:tcW w:type="dxa" w:w="2160"/>
          </w:tcPr>
          <w:p>
            <w:r>
              <w:t>write_episode(事件ID, 证据, 决策, 计划)</w:t>
            </w:r>
          </w:p>
        </w:tc>
        <w:tc>
          <w:tcPr>
            <w:tcW w:type="dxa" w:w="2160"/>
          </w:tcPr>
          <w:p>
            <w:r>
              <w:t>事件记录ID和审计记录ID</w:t>
            </w:r>
          </w:p>
        </w:tc>
        <w:tc>
          <w:tcPr>
            <w:tcW w:type="dxa" w:w="2160"/>
          </w:tcPr>
          <w:p>
            <w:r>
              <w:t>创建可追溯案例，用于周报和后续问答。</w:t>
            </w:r>
          </w:p>
        </w:tc>
      </w:tr>
      <w:tr>
        <w:tc>
          <w:tcPr>
            <w:tcW w:type="dxa" w:w="2160"/>
          </w:tcPr>
          <w:p>
            <w:r>
              <w:t>执行行动</w:t>
            </w:r>
          </w:p>
        </w:tc>
        <w:tc>
          <w:tcPr>
            <w:tcW w:type="dxa" w:w="2160"/>
          </w:tcPr>
          <w:p>
            <w:r>
              <w:t>issue_action(级别, 渠道, 消息, 复查间隔)</w:t>
            </w:r>
          </w:p>
        </w:tc>
        <w:tc>
          <w:tcPr>
            <w:tcW w:type="dxa" w:w="2160"/>
          </w:tcPr>
          <w:p>
            <w:r>
              <w:t>行动状态、通知目标、复查计划</w:t>
            </w:r>
          </w:p>
        </w:tc>
        <w:tc>
          <w:tcPr>
            <w:tcW w:type="dxa" w:w="2160"/>
          </w:tcPr>
          <w:p>
            <w:r>
              <w:t>观察、提醒、告警或延迟复查。</w:t>
            </w:r>
          </w:p>
        </w:tc>
      </w:tr>
    </w:tbl>
    <w:p>
      <w:pPr>
        <w:pStyle w:val="Heading2"/>
      </w:pPr>
      <w:r>
        <w:t>表 4：事件触发诊断流程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1. 事件唤醒护士代理</w:t>
            </w:r>
          </w:p>
        </w:tc>
        <w:tc>
          <w:tcPr>
            <w:tcW w:type="dxa" w:w="1728"/>
          </w:tcPr>
          <w:p>
            <w:r>
              <w:t>2. 查询历史</w:t>
            </w:r>
          </w:p>
        </w:tc>
        <w:tc>
          <w:tcPr>
            <w:tcW w:type="dxa" w:w="1728"/>
          </w:tcPr>
          <w:p>
            <w:r>
              <w:t>3. 读取感知状态</w:t>
            </w:r>
          </w:p>
        </w:tc>
        <w:tc>
          <w:tcPr>
            <w:tcW w:type="dxa" w:w="1728"/>
          </w:tcPr>
          <w:p>
            <w:r>
              <w:t>4. 咨询融合</w:t>
            </w:r>
          </w:p>
        </w:tc>
        <w:tc>
          <w:tcPr>
            <w:tcW w:type="dxa" w:w="1728"/>
          </w:tcPr>
          <w:p>
            <w:r>
              <w:t>5. 执行行动</w:t>
            </w:r>
          </w:p>
        </w:tc>
      </w:tr>
      <w:tr>
        <w:tc>
          <w:tcPr>
            <w:tcW w:type="dxa" w:w="1728"/>
          </w:tcPr>
          <w:p>
            <w:r>
              <w:t>呼吸/体温/活动/跌倒</w:t>
            </w:r>
          </w:p>
        </w:tc>
        <w:tc>
          <w:tcPr>
            <w:tcW w:type="dxa" w:w="1728"/>
          </w:tcPr>
          <w:p>
            <w:r>
              <w:t>查询个人按时段划分的基线</w:t>
            </w:r>
          </w:p>
        </w:tc>
        <w:tc>
          <w:tcPr>
            <w:tcW w:type="dxa" w:w="1728"/>
          </w:tcPr>
          <w:p>
            <w:r>
              <w:t>置信度和NLOS</w:t>
            </w:r>
          </w:p>
        </w:tc>
        <w:tc>
          <w:tcPr>
            <w:tcW w:type="dxa" w:w="1728"/>
          </w:tcPr>
          <w:p>
            <w:r>
              <w:t>调用仲裁工具并输出融合状态</w:t>
            </w:r>
          </w:p>
        </w:tc>
        <w:tc>
          <w:tcPr>
            <w:tcW w:type="dxa" w:w="1728"/>
          </w:tcPr>
          <w:p>
            <w:r>
              <w:t>观察/提醒/告警并写入事件记录</w:t>
            </w:r>
          </w:p>
        </w:tc>
      </w:tr>
    </w:tbl>
    <w:p>
      <w:pPr>
        <w:pStyle w:val="Heading2"/>
      </w:pPr>
      <w:r>
        <w:t>表 5：分级行动策略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示例触发条件</w:t>
            </w:r>
          </w:p>
        </w:tc>
        <w:tc>
          <w:tcPr>
            <w:tcW w:type="dxa" w:w="2160"/>
          </w:tcPr>
          <w:p>
            <w:r>
              <w:t>系统行动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静默记录</w:t>
            </w:r>
          </w:p>
        </w:tc>
        <w:tc>
          <w:tcPr>
            <w:tcW w:type="dxa" w:w="2160"/>
          </w:tcPr>
          <w:p>
            <w:r>
              <w:t>状态在个人基线范围内，或短期波动可由活动解释。</w:t>
            </w:r>
          </w:p>
        </w:tc>
        <w:tc>
          <w:tcPr>
            <w:tcW w:type="dxa" w:w="2160"/>
          </w:tcPr>
          <w:p>
            <w:r>
              <w:t>仅写入状态，不予打扰。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持续观察</w:t>
            </w:r>
          </w:p>
        </w:tc>
        <w:tc>
          <w:tcPr>
            <w:tcW w:type="dxa" w:w="2160"/>
          </w:tcPr>
          <w:p>
            <w:r>
              <w:t>轻度偏离基线，未持续，且无高风险组合。</w:t>
            </w:r>
          </w:p>
        </w:tc>
        <w:tc>
          <w:tcPr>
            <w:tcW w:type="dxa" w:w="2160"/>
          </w:tcPr>
          <w:p>
            <w:r>
              <w:t>设置 5-10 分钟复查；医生工作站记录原因。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居民提醒</w:t>
            </w:r>
          </w:p>
        </w:tc>
        <w:tc>
          <w:tcPr>
            <w:tcW w:type="dxa" w:w="2160"/>
          </w:tcPr>
          <w:p>
            <w:r>
              <w:t>轻中度异常持续，可能需要居民调整姿势、饮水或确认状态。</w:t>
            </w:r>
          </w:p>
        </w:tc>
        <w:tc>
          <w:tcPr>
            <w:tcW w:type="dxa" w:w="2160"/>
          </w:tcPr>
          <w:p>
            <w:r>
              <w:t>使用本地屏幕/语音/电话温和提醒，不打扰外部人员。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家属告警</w:t>
            </w:r>
          </w:p>
        </w:tc>
        <w:tc>
          <w:tcPr>
            <w:tcW w:type="dxa" w:w="2160"/>
          </w:tcPr>
          <w:p>
            <w:r>
              <w:t>持续偏离个人基线，多模态一致，或伴随体温/活动异常。</w:t>
            </w:r>
          </w:p>
        </w:tc>
        <w:tc>
          <w:tcPr>
            <w:tcW w:type="dxa" w:w="2160"/>
          </w:tcPr>
          <w:p>
            <w:r>
              <w:t>向家属推送摘要、证据和建议复查时间。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紧急告警</w:t>
            </w:r>
          </w:p>
        </w:tc>
        <w:tc>
          <w:tcPr>
            <w:tcW w:type="dxa" w:w="2160"/>
          </w:tcPr>
          <w:p>
            <w:r>
              <w:t>跌倒 + 突发生理变化；高烧 + 呼吸异常；长时间无响应。</w:t>
            </w:r>
          </w:p>
        </w:tc>
        <w:tc>
          <w:tcPr>
            <w:tcW w:type="dxa" w:w="2160"/>
          </w:tcPr>
          <w:p>
            <w:r>
              <w:t>反射弧立即通知家属；后续可添加紧急联系人。</w:t>
            </w:r>
          </w:p>
        </w:tc>
      </w:tr>
    </w:tbl>
    <w:p>
      <w:pPr>
        <w:pStyle w:val="Heading2"/>
      </w:pPr>
      <w:r>
        <w:t>表 6：事件记录结构</w:t>
      </w:r>
    </w:p>
    <w:p>
      <w:r>
        <w:rPr>
          <w:sz w:val="20"/>
        </w:rPr>
        <w:t>event_log = {</w:t>
        <w:br/>
        <w:t xml:space="preserve">  episode_id, resident_id, start_time, end_time,</w:t>
        <w:br/>
        <w:t xml:space="preserve">  event_type, initial_trigger,</w:t>
        <w:br/>
        <w:t xml:space="preserve">  evidence: {</w:t>
        <w:br/>
        <w:t xml:space="preserve">    baseline_summary,</w:t>
        <w:br/>
        <w:t xml:space="preserve">    sensing_quality_summary,</w:t>
        <w:br/>
        <w:t xml:space="preserve">    fusion_verdict,</w:t>
        <w:br/>
        <w:t xml:space="preserve">    thermal_summary,</w:t>
        <w:br/>
        <w:t xml:space="preserve">    pose_context</w:t>
        <w:br/>
        <w:t xml:space="preserve">  },</w:t>
        <w:br/>
        <w:t xml:space="preserve">  decision: {level, label, explanation, confidence},</w:t>
        <w:br/>
        <w:t xml:space="preserve">  action: {channel, message, recheck_after, escalation_rule},</w:t>
        <w:br/>
        <w:t xml:space="preserve">  audit: {tools_called, tool_versions, operator_override_optional}</w:t>
        <w:br/>
        <w:t>}</w:t>
      </w:r>
    </w:p>
    <w:p>
      <w:pPr>
        <w:pStyle w:val="Heading2"/>
      </w:pPr>
      <w:r>
        <w:t>表 7：事件驱动诊断示例</w:t>
      </w:r>
    </w:p>
    <w:p>
      <w:r>
        <w:t>凌晨 2:14，护士代理检测到呼吸率为 24 bpm，超过该居民的夜间基线。诊断代理首先查询过去三周同一凌晨时段的历史基线，得到 19 ± 2 bpm。然后读取当前 WiFi 和毫米波窗口，发现两个读数一致且毫米波 NLOS 为假；活动分类未指示翻身。医生决定不立即升级告警级别，而将事件标记为 L1 持续观察并安排 10 分钟后复查。若数值仍高于个人基线 2 个标准差，事件将升级为家属提醒。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